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0"/>
        <w:gridCol w:w="425"/>
        <w:gridCol w:w="2564"/>
        <w:gridCol w:w="2307"/>
        <w:gridCol w:w="2290"/>
        <w:gridCol w:w="2287"/>
        <w:gridCol w:w="2264"/>
      </w:tblGrid>
      <w:tr w:rsidR="00BE4456" w:rsidRPr="00BE4456" w:rsidTr="00211BED">
        <w:trPr>
          <w:jc w:val="center"/>
        </w:trPr>
        <w:tc>
          <w:tcPr>
            <w:tcW w:w="14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456" w:rsidRPr="00BE4456" w:rsidRDefault="00BE4456" w:rsidP="00BE4456">
            <w:pPr>
              <w:spacing w:before="60" w:after="60" w:line="320" w:lineRule="atLeast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it-IT"/>
              </w:rPr>
            </w:pPr>
            <w:r w:rsidRPr="00BE4456">
              <w:rPr>
                <w:rFonts w:ascii="Arial" w:eastAsia="Times New Roman" w:hAnsi="Arial" w:cs="Arial"/>
                <w:b/>
                <w:lang w:eastAsia="it-IT"/>
              </w:rPr>
              <w:t>Verifica procedurale – Procedure per l’affidamento dei servizi attinenti all’architettura e all’ingegneria e connessi</w:t>
            </w:r>
          </w:p>
        </w:tc>
      </w:tr>
      <w:tr w:rsidR="00BE4456" w:rsidRPr="00BE4456" w:rsidTr="00211BED">
        <w:trPr>
          <w:jc w:val="center"/>
        </w:trPr>
        <w:tc>
          <w:tcPr>
            <w:tcW w:w="14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6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4456" w:rsidRPr="00BE4456" w:rsidRDefault="00BE4456" w:rsidP="00BE4456">
            <w:pPr>
              <w:suppressAutoHyphens/>
              <w:autoSpaceDN w:val="0"/>
              <w:spacing w:before="60" w:after="60" w:line="32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 xml:space="preserve">CHECKLIST N. 4 </w:t>
            </w:r>
          </w:p>
          <w:p w:rsidR="00BE4456" w:rsidRPr="00BE4456" w:rsidRDefault="00BE4456" w:rsidP="00BE4456">
            <w:pPr>
              <w:suppressAutoHyphens/>
              <w:autoSpaceDN w:val="0"/>
              <w:spacing w:before="60" w:after="60" w:line="3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 xml:space="preserve">AFFIDAMENTO DEI SERVIZI ATTINENTI ALL’ARCHITETTURA E ALL’INGEGNERIA DI IMPORTO PARI O SUPERIORI </w:t>
            </w:r>
            <w:proofErr w:type="gramStart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A  EURO</w:t>
            </w:r>
            <w:proofErr w:type="gramEnd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 xml:space="preserve"> 40.000 E INFERIORE A EURO 100.000 E ALTRI INCARICHI CONNESSI</w:t>
            </w:r>
          </w:p>
        </w:tc>
      </w:tr>
      <w:tr w:rsidR="00BE4456" w:rsidRPr="00BE4456" w:rsidTr="00211BED">
        <w:trPr>
          <w:jc w:val="center"/>
        </w:trPr>
        <w:tc>
          <w:tcPr>
            <w:tcW w:w="14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4456" w:rsidRPr="00BE4456" w:rsidRDefault="00BE4456" w:rsidP="00BE4456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DENOMINAZIONE DELLA STAZIONE APPALTANTE:</w:t>
            </w:r>
          </w:p>
        </w:tc>
      </w:tr>
      <w:tr w:rsidR="00BE4456" w:rsidRPr="00BE4456" w:rsidTr="00211BED">
        <w:trPr>
          <w:jc w:val="center"/>
        </w:trPr>
        <w:tc>
          <w:tcPr>
            <w:tcW w:w="21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4456" w:rsidRPr="00BE4456" w:rsidRDefault="00BE4456" w:rsidP="00BE4456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/>
              </w:rPr>
            </w:pPr>
          </w:p>
        </w:tc>
        <w:tc>
          <w:tcPr>
            <w:tcW w:w="121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456" w:rsidRPr="00BE4456" w:rsidRDefault="00BE4456" w:rsidP="00BE4456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:rsidTr="00211BED">
        <w:trPr>
          <w:jc w:val="center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 xml:space="preserve">Valore stimato </w:t>
            </w:r>
          </w:p>
          <w:p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dell’appalto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posto a base di gara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a </w:t>
            </w:r>
            <w:proofErr w:type="spellStart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seguito</w:t>
            </w:r>
            <w:proofErr w:type="spellEnd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dell’aggiudicazione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Data </w:t>
            </w:r>
            <w:proofErr w:type="spellStart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decorrenza</w:t>
            </w:r>
            <w:proofErr w:type="spellEnd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del</w:t>
            </w:r>
            <w:proofErr w:type="spellEnd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Data </w:t>
            </w:r>
            <w:proofErr w:type="spellStart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scadenza</w:t>
            </w:r>
            <w:proofErr w:type="spellEnd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del</w:t>
            </w:r>
            <w:proofErr w:type="spellEnd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complessivo erogato (solo in caso di saldo)</w:t>
            </w:r>
          </w:p>
          <w:p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:rsidTr="00211BED">
        <w:trPr>
          <w:jc w:val="center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4456" w:rsidRPr="00BE4456" w:rsidRDefault="00BE4456" w:rsidP="00BE4456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456" w:rsidRPr="00BE4456" w:rsidRDefault="00BE4456" w:rsidP="00BE4456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456" w:rsidRPr="00BE4456" w:rsidRDefault="00BE4456" w:rsidP="00BE4456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456" w:rsidRPr="00BE4456" w:rsidRDefault="00BE4456" w:rsidP="00BE4456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456" w:rsidRPr="00BE4456" w:rsidRDefault="00BE4456" w:rsidP="00BE4456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456" w:rsidRPr="00BE4456" w:rsidRDefault="00BE4456" w:rsidP="00BE4456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</w:tr>
    </w:tbl>
    <w:p w:rsidR="00BE4456" w:rsidRPr="00BE4456" w:rsidRDefault="00BE4456" w:rsidP="00BE4456">
      <w:pPr>
        <w:tabs>
          <w:tab w:val="left" w:pos="3195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0"/>
          <w:szCs w:val="20"/>
          <w:lang w:val="fr-FR"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1"/>
        <w:gridCol w:w="2270"/>
        <w:gridCol w:w="3118"/>
        <w:gridCol w:w="2555"/>
        <w:gridCol w:w="3503"/>
      </w:tblGrid>
      <w:tr w:rsidR="00BE4456" w:rsidRPr="00BE4456" w:rsidTr="00E415B9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1a </w:t>
            </w:r>
            <w:proofErr w:type="spellStart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modifica</w:t>
            </w:r>
            <w:proofErr w:type="spellEnd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del</w:t>
            </w:r>
            <w:proofErr w:type="spellEnd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2a </w:t>
            </w:r>
            <w:proofErr w:type="spellStart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modifica</w:t>
            </w:r>
            <w:proofErr w:type="spellEnd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del</w:t>
            </w:r>
            <w:proofErr w:type="spellEnd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complessivo erogato (solo in caso di saldo)</w:t>
            </w:r>
          </w:p>
        </w:tc>
      </w:tr>
      <w:tr w:rsidR="00BE4456" w:rsidRPr="00BE4456" w:rsidTr="00E415B9">
        <w:trPr>
          <w:trHeight w:val="2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(€)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(€)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</w:tr>
      <w:tr w:rsidR="00BE4456" w:rsidRPr="00BE4456" w:rsidTr="00E415B9">
        <w:trPr>
          <w:trHeight w:val="43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</w:tr>
    </w:tbl>
    <w:p w:rsidR="00BE4456" w:rsidRPr="00BE4456" w:rsidRDefault="00BE4456" w:rsidP="00BE4456">
      <w:pPr>
        <w:tabs>
          <w:tab w:val="left" w:pos="3195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0"/>
          <w:szCs w:val="20"/>
          <w:lang w:val="fr-FR" w:eastAsia="zh-C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7"/>
        <w:gridCol w:w="7750"/>
        <w:gridCol w:w="1456"/>
        <w:gridCol w:w="4354"/>
      </w:tblGrid>
      <w:tr w:rsidR="00BE4456" w:rsidRPr="00BE4456" w:rsidTr="00E415B9">
        <w:trPr>
          <w:trHeight w:val="255"/>
          <w:jc w:val="center"/>
        </w:trPr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VERIFICA DELLE PROCEDURE</w:t>
            </w:r>
          </w:p>
        </w:tc>
      </w:tr>
      <w:tr w:rsidR="00BE4456" w:rsidRPr="00BE4456" w:rsidTr="00E415B9">
        <w:trPr>
          <w:trHeight w:val="44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  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Verifica</w:t>
            </w:r>
            <w:proofErr w:type="spellEnd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 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S (Sì) - N (No)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proofErr w:type="gramStart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NA(</w:t>
            </w:r>
            <w:proofErr w:type="gramEnd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non applicabile)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Commenti</w:t>
            </w:r>
          </w:p>
        </w:tc>
      </w:tr>
      <w:tr w:rsidR="00BE4456" w:rsidRPr="00BE4456" w:rsidTr="00E415B9">
        <w:trPr>
          <w:trHeight w:val="44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state rispettate le disposizioni della normativa nazionale vigente?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Art. 157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del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proofErr w:type="gram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D.Lgs</w:t>
            </w:r>
            <w:proofErr w:type="spellEnd"/>
            <w:proofErr w:type="gram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50/2016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en-US"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L’importo del corrispettivo commisurato al livello qualitativo delle prestazioni e delle attività di progettazione e alle attività di cui all'art. 31, comma 8, è stato determinato in base al D.M. 17 giugno 2016?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Nella documentazione di gara è riportato il procedimento adottato per il calcolo dei compensi posti a base di gara?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lastRenderedPageBreak/>
              <w:t>4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E'stato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nominato il Responsabile Unico del Procedimento ai sensi dell’art.31 del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</w:t>
            </w:r>
            <w:bookmarkStart w:id="0" w:name="_GoBack"/>
            <w:bookmarkEnd w:id="0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ornire gli estremi dell’atto</w:t>
            </w: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Dalla documentazione di gara si evince che il RUP ha effettuato la verifica sulla presenza di professionalità interne ai sensi dell’art. 23 comma 2 del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Quale modalità è stata utilizzata per le indagini esplorative preliminari volte a individuare gli operatori da invitare a presentare preventivo?  </w:t>
            </w:r>
          </w:p>
          <w:p w:rsidR="00BE4456" w:rsidRPr="00BE4456" w:rsidRDefault="00BE4456" w:rsidP="00BE4456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Sulla base di indagini di mercato</w:t>
            </w:r>
          </w:p>
          <w:p w:rsidR="00BE4456" w:rsidRPr="00BE4456" w:rsidRDefault="00BE4456" w:rsidP="00BE4456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Tramite elenchi di operatori economici</w:t>
            </w:r>
          </w:p>
          <w:p w:rsidR="00BE4456" w:rsidRPr="00BE4456" w:rsidRDefault="00BE4456" w:rsidP="00BE4456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Mediante consultazioni di cataloghi elettronici del mercato elettronico</w:t>
            </w:r>
          </w:p>
          <w:p w:rsidR="00BE4456" w:rsidRPr="00BE4456" w:rsidRDefault="00BE4456" w:rsidP="00BE4456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Altro (specificare nei commenti)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documentazione di gara evidenzia che la stazione appaltante ha inviato copia dell’avviso relativo l’avvio dell’indagine di mercato o di costituzione dell’elenco degli operatori economici agli ordini professionali, nazionali e territoriali?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determina o la decretazione a contrarre identifica le opere cui appartengono gli interventi oggetto dell’incarico?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determina o la decretazione a contrarre definisce i requisiti di carattere speciale che i concorrenti devono possedere per poter partecipare alla gara?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determina o la decretazione a contrarre definisce i criteri di migliore professionalità o di migliore adeguatezza dell’offerta?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si evince che la stazione appaltante ha rispettato il</w:t>
            </w:r>
            <w:r w:rsidRPr="00BE445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</w:t>
            </w: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criterio di rotazione degli inviti ai sensi dell’art. 157 comma 2 del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si evince che la stazione appaltante ha provveduto ad individuare almeno cinque operatori economici?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si evince che è stato utilizzato il criterio dell’offerta economicamente più vantaggiosa secondo il miglior rapporto qualità/prezzo?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 dalla documentazione di gara si evince: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che i requisiti posseduti dai concorrenti, valutati nella fase di selezione, non siano stati riconsiderati nella fase di aggiudicazione.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presenza del dettaglio delle somme/totali dei punteggi attribuiti in base ai diversi criteri di aggiudicazione.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</w:t>
            </w:r>
            <w:proofErr w:type="gram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stata formalizzata la nomina della Commissione di Aggiudicazione secondo le modalità di cui all'art. 77 del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sì: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All'apertura delle buste, la Commissione giudicatrice era validamente costituita?  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Dai documenti di gara si evince che la stazione appaltante ha verificato le dichiarazioni circa il possesso dei requisiti di carattere speciale richiesti nella lettera di invito o nel bando di gara?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risulta che la stazione appaltante ha verificato i criteri di migliore professionalità o di migliore adeguatezza all’offerta?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 documenti di gara, esplicitano le motivazioni per tutte le decisioni prese dalla Commissione aggiudicatrice?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L'importo del contratto corrisponde all'importo dell'aggiudicazione?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L'appaltatore ha rispettato gli obblighi contrattuali?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21.1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In caso negativo, la stazione appaltante ha attivato le clausole del contratto relative alle penali?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21.2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state apportate modifiche al contratto durante il periodo di efficacia?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si, alternativamente: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21.</w:t>
            </w:r>
            <w:proofErr w:type="gramStart"/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2.a</w:t>
            </w:r>
            <w:proofErr w:type="gramEnd"/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Per i lavori o i servizi supplementari, sono state rispettate le condizioni di cui all’art. 106 comma 1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lett.b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lastRenderedPageBreak/>
              <w:t>21.</w:t>
            </w:r>
            <w:proofErr w:type="gramStart"/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2.b</w:t>
            </w:r>
            <w:proofErr w:type="gramEnd"/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lett.c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21.2.c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In caso di nuovo contraente sono state rispettate le condizioni di cui all’art.106 comma 1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lett.d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21.</w:t>
            </w:r>
            <w:proofErr w:type="gramStart"/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2.d</w:t>
            </w:r>
            <w:proofErr w:type="gramEnd"/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Le modifiche non sono sostanziali, ai sensi dell’art. 106 comma 1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lett.e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durata del contratto è stata modificata?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si: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22.a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È stata prevista l’opzione di proroga nei documenti di gara?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22.b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proroga è stata limitata al tempo strettamente necessario alla conclusione delle procedure per l’individuazione di un nuovo contraente?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22.c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 prestazioni sono state eseguite dal contraente alle medesime condizioni previste nel contratto?</w:t>
            </w:r>
          </w:p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BE4456" w:rsidRPr="00BE4456" w:rsidRDefault="00BE4456" w:rsidP="00BE4456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E110CD" w:rsidRDefault="00E110CD"/>
    <w:sectPr w:rsidR="00E110CD" w:rsidSect="00BE4456"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D4F" w:rsidRDefault="005F3D4F" w:rsidP="00211BED">
      <w:pPr>
        <w:spacing w:after="0" w:line="240" w:lineRule="auto"/>
      </w:pPr>
      <w:r>
        <w:separator/>
      </w:r>
    </w:p>
  </w:endnote>
  <w:endnote w:type="continuationSeparator" w:id="0">
    <w:p w:rsidR="005F3D4F" w:rsidRDefault="005F3D4F" w:rsidP="00211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4659"/>
      <w:gridCol w:w="4703"/>
    </w:tblGrid>
    <w:tr w:rsidR="00211BED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:rsidR="00211BED" w:rsidRPr="00A01B50" w:rsidRDefault="00211BED" w:rsidP="00211BED">
          <w:pPr>
            <w:pStyle w:val="Pidipagina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proofErr w:type="spellStart"/>
          <w:r w:rsidRPr="00A01B50">
            <w:rPr>
              <w:i/>
              <w:sz w:val="16"/>
              <w:szCs w:val="16"/>
            </w:rPr>
            <w:t>apr</w:t>
          </w:r>
          <w:proofErr w:type="spellEnd"/>
          <w:r w:rsidRPr="00A01B50">
            <w:rPr>
              <w:i/>
              <w:sz w:val="16"/>
              <w:szCs w:val="16"/>
            </w:rPr>
            <w:t xml:space="preserve"> 2018)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:rsidR="00211BED" w:rsidRPr="0051552A" w:rsidRDefault="00211BED" w:rsidP="00211BED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</w:t>
          </w:r>
          <w:r>
            <w:rPr>
              <w:i/>
              <w:sz w:val="16"/>
              <w:szCs w:val="16"/>
            </w:rPr>
            <w:t>(fino al 19/05/2017)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Content>
            <w:p w:rsidR="00211BED" w:rsidRDefault="00211BED" w:rsidP="00211BED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211BED" w:rsidRDefault="00211B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D4F" w:rsidRDefault="005F3D4F" w:rsidP="00211BED">
      <w:pPr>
        <w:spacing w:after="0" w:line="240" w:lineRule="auto"/>
      </w:pPr>
      <w:r>
        <w:separator/>
      </w:r>
    </w:p>
  </w:footnote>
  <w:footnote w:type="continuationSeparator" w:id="0">
    <w:p w:rsidR="005F3D4F" w:rsidRDefault="005F3D4F" w:rsidP="00211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65ACC"/>
    <w:multiLevelType w:val="multilevel"/>
    <w:tmpl w:val="002CD4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56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1BED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5F3D4F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1FFA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4456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65236-710B-4024-AD1D-7637470A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1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1BED"/>
  </w:style>
  <w:style w:type="paragraph" w:styleId="Pidipagina">
    <w:name w:val="footer"/>
    <w:basedOn w:val="Normale"/>
    <w:link w:val="PidipaginaCarattere"/>
    <w:uiPriority w:val="99"/>
    <w:unhideWhenUsed/>
    <w:rsid w:val="00211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BED"/>
  </w:style>
  <w:style w:type="table" w:styleId="Grigliatabella">
    <w:name w:val="Table Grid"/>
    <w:basedOn w:val="Tabellanormale"/>
    <w:uiPriority w:val="39"/>
    <w:rsid w:val="00211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Filippi Annalisa</cp:lastModifiedBy>
  <cp:revision>2</cp:revision>
  <dcterms:created xsi:type="dcterms:W3CDTF">2018-06-22T11:48:00Z</dcterms:created>
  <dcterms:modified xsi:type="dcterms:W3CDTF">2018-06-29T12:59:00Z</dcterms:modified>
</cp:coreProperties>
</file>