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385"/>
        <w:gridCol w:w="40"/>
        <w:gridCol w:w="2468"/>
        <w:gridCol w:w="83"/>
        <w:gridCol w:w="2208"/>
        <w:gridCol w:w="60"/>
        <w:gridCol w:w="2232"/>
        <w:gridCol w:w="36"/>
        <w:gridCol w:w="2255"/>
        <w:gridCol w:w="13"/>
        <w:gridCol w:w="2374"/>
      </w:tblGrid>
      <w:tr w:rsidR="00E76C56" w:rsidTr="00E415B9">
        <w:trPr>
          <w:jc w:val="center"/>
        </w:trPr>
        <w:tc>
          <w:tcPr>
            <w:tcW w:w="14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C56" w:rsidRDefault="00E76C56" w:rsidP="00E415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Verifica procedurale – Procedure per l’affidamento dei contratti pubblici di importo inferiore alle soglie di rilevanza comunitaria</w:t>
            </w:r>
          </w:p>
        </w:tc>
      </w:tr>
      <w:tr w:rsidR="00E76C56" w:rsidTr="00E415B9">
        <w:trPr>
          <w:jc w:val="center"/>
        </w:trPr>
        <w:tc>
          <w:tcPr>
            <w:tcW w:w="14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C56" w:rsidRDefault="00E76C56" w:rsidP="00E415B9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CHECKLIST N. 2.1c – LAV.</w:t>
            </w:r>
          </w:p>
          <w:p w:rsidR="00E76C56" w:rsidRDefault="00E76C56" w:rsidP="00E415B9">
            <w:pPr>
              <w:pStyle w:val="Standard"/>
              <w:spacing w:before="60" w:after="60" w:line="320" w:lineRule="atLeast"/>
              <w:jc w:val="center"/>
            </w:pPr>
            <w:r>
              <w:rPr>
                <w:rFonts w:ascii="Arial" w:hAnsi="Arial" w:cs="Arial"/>
                <w:b/>
                <w:bCs/>
                <w:lang w:val="it-IT"/>
              </w:rPr>
              <w:t xml:space="preserve">PROCEDURA NEGOZIATA PER L’AFFIDAMENTO DI CONTRATTI DI </w:t>
            </w:r>
            <w:r>
              <w:rPr>
                <w:rFonts w:ascii="Arial" w:hAnsi="Arial" w:cs="Arial"/>
                <w:b/>
                <w:bCs/>
                <w:u w:val="single"/>
                <w:lang w:val="it-IT"/>
              </w:rPr>
              <w:t>LAVORI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DI IMPORTO PARI O SUPERIORE A 150.000,00 EURO E INFERIORE A 1.000.000,00 EURO – procedura negoziata</w:t>
            </w:r>
          </w:p>
        </w:tc>
      </w:tr>
      <w:tr w:rsidR="00E76C56" w:rsidTr="00E415B9">
        <w:trPr>
          <w:jc w:val="center"/>
        </w:trPr>
        <w:tc>
          <w:tcPr>
            <w:tcW w:w="14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C56" w:rsidRDefault="00E76C56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E76C56" w:rsidTr="00E415B9">
        <w:trPr>
          <w:jc w:val="center"/>
        </w:trPr>
        <w:tc>
          <w:tcPr>
            <w:tcW w:w="14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C56" w:rsidRDefault="00E76C56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Art. 37 – Nel caso la Stazione appaltante sia un Comune non capoluogo di Provincia, l’acquisizione di lavori è avvenuta secondo le modalità previste dall’art. 37 co. 4</w:t>
            </w:r>
          </w:p>
        </w:tc>
      </w:tr>
      <w:tr w:rsidR="00E76C56" w:rsidTr="00E415B9">
        <w:trPr>
          <w:jc w:val="center"/>
        </w:trPr>
        <w:tc>
          <w:tcPr>
            <w:tcW w:w="5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C56" w:rsidRDefault="00E76C56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Ricorrendo ad una Centrale di committenza o a soggetti aggregatori qualificati.</w:t>
            </w:r>
          </w:p>
        </w:tc>
        <w:tc>
          <w:tcPr>
            <w:tcW w:w="4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6C56" w:rsidRDefault="00E76C56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Mediante unioni di Comuni costituite o qualificate come Centrali di committenza o associandosi o consorziandosi in Centrali di committenza.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6C56" w:rsidRDefault="00E76C56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Ricorrendo alla stazione unica appaltante costituita presso gli enti di area vasta ai sensi della legge 7 aprile 2014, n. 56.</w:t>
            </w:r>
          </w:p>
        </w:tc>
      </w:tr>
      <w:tr w:rsidR="00E76C56" w:rsidTr="00E415B9">
        <w:trPr>
          <w:jc w:val="center"/>
        </w:trPr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C56" w:rsidRDefault="00E76C56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76C56" w:rsidRDefault="00E76C56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6C56" w:rsidRDefault="00E76C56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6C56" w:rsidRDefault="00E76C56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6C56" w:rsidRDefault="00E76C56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SI - NO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6C56" w:rsidRDefault="00E76C56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E76C56" w:rsidTr="00E415B9">
        <w:trPr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6C56" w:rsidRDefault="00E76C56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12154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C56" w:rsidRDefault="00E76C56" w:rsidP="00E415B9">
            <w:pPr>
              <w:pStyle w:val="Standard"/>
              <w:spacing w:before="60" w:after="60" w:line="320" w:lineRule="atLeast"/>
              <w:jc w:val="both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E76C56" w:rsidTr="00E415B9">
        <w:trPr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6C56" w:rsidRDefault="00E76C56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:rsidR="00E76C56" w:rsidRDefault="00E76C56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C56" w:rsidRDefault="00E76C56" w:rsidP="00E415B9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C56" w:rsidRDefault="00E76C56" w:rsidP="00E415B9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C56" w:rsidRDefault="00E76C56" w:rsidP="00E415B9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C56" w:rsidRDefault="00E76C56" w:rsidP="00E415B9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C56" w:rsidRDefault="00E76C56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:rsidR="00E76C56" w:rsidRDefault="00E76C56" w:rsidP="00E415B9">
            <w:pPr>
              <w:pStyle w:val="Standard"/>
              <w:tabs>
                <w:tab w:val="left" w:pos="3195"/>
              </w:tabs>
              <w:rPr>
                <w:b/>
              </w:rPr>
            </w:pPr>
          </w:p>
        </w:tc>
      </w:tr>
      <w:tr w:rsidR="00E76C56" w:rsidTr="00E415B9">
        <w:trPr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6C56" w:rsidRDefault="00E76C56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C56" w:rsidRDefault="00E76C56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C56" w:rsidRDefault="00E76C56" w:rsidP="00E415B9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C56" w:rsidRDefault="00E76C56" w:rsidP="00E415B9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C56" w:rsidRDefault="00E76C56" w:rsidP="00E415B9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C56" w:rsidRDefault="00E76C56" w:rsidP="00E415B9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E76C56" w:rsidRDefault="00E76C56" w:rsidP="00E76C56">
      <w:pPr>
        <w:pStyle w:val="Standard"/>
        <w:rPr>
          <w:rFonts w:ascii="Arial" w:hAnsi="Arial" w:cs="Arial"/>
          <w:b/>
          <w:bCs/>
        </w:rPr>
      </w:pPr>
    </w:p>
    <w:p w:rsidR="00E76C56" w:rsidRDefault="00E76C56" w:rsidP="00E76C56">
      <w:pPr>
        <w:pStyle w:val="Standard"/>
        <w:rPr>
          <w:rFonts w:ascii="Arial" w:hAnsi="Arial" w:cs="Arial"/>
          <w:b/>
          <w:bCs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270"/>
        <w:gridCol w:w="3118"/>
        <w:gridCol w:w="2555"/>
        <w:gridCol w:w="3503"/>
      </w:tblGrid>
      <w:tr w:rsidR="00E76C56" w:rsidTr="00E415B9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C56" w:rsidRDefault="00E76C56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C56" w:rsidRDefault="00E76C56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del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E76C56" w:rsidTr="00E415B9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C56" w:rsidRDefault="00E76C56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C56" w:rsidRDefault="00E76C56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C56" w:rsidRDefault="00E76C56" w:rsidP="00E415B9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C56" w:rsidRDefault="00E76C56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E76C56" w:rsidTr="00E415B9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C56" w:rsidRDefault="00E76C56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C56" w:rsidRDefault="00E76C56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C56" w:rsidRDefault="00E76C56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C56" w:rsidRDefault="00E76C56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C56" w:rsidRDefault="00E76C56" w:rsidP="00E415B9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:rsidR="00E76C56" w:rsidRDefault="00E76C56" w:rsidP="00E76C56">
      <w:pPr>
        <w:rPr>
          <w:szCs w:val="21"/>
        </w:rPr>
      </w:pPr>
      <w:bookmarkStart w:id="0" w:name="_GoBack"/>
      <w:bookmarkEnd w:id="0"/>
    </w:p>
    <w:p w:rsidR="00E76C56" w:rsidRDefault="00E76C56" w:rsidP="00E76C56">
      <w:pPr>
        <w:rPr>
          <w:szCs w:val="21"/>
        </w:rPr>
        <w:sectPr w:rsidR="00E76C56">
          <w:footerReference w:type="default" r:id="rId7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7407"/>
        <w:gridCol w:w="1493"/>
        <w:gridCol w:w="4679"/>
      </w:tblGrid>
      <w:tr w:rsidR="00E76C56" w:rsidTr="00E415B9">
        <w:trPr>
          <w:trHeight w:hRule="exact" w:val="305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C56" w:rsidRDefault="00E76C56" w:rsidP="00E415B9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VERIFICA DELLE PROCEDURE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C56" w:rsidRDefault="00E76C56" w:rsidP="00E415B9">
            <w:r>
              <w:t xml:space="preserve">  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C56" w:rsidRDefault="00E76C56" w:rsidP="00E415B9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Verifica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C56" w:rsidRDefault="00E76C56" w:rsidP="00E415B9">
            <w:r>
              <w:t xml:space="preserve">  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rispettate le disposizioni della normativa nazionale vigente?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Art. 36 comma 2 lett. c)</w:t>
            </w:r>
          </w:p>
          <w:p w:rsidR="00E76C56" w:rsidRDefault="00E76C56" w:rsidP="00E415B9">
            <w:pPr>
              <w:pStyle w:val="Standard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E'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nominato il Responsabile Unico del Procedimento ai sensi dell’art. 31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requisiti che i partecipanti devono possedere per poter concorrere alla gara di appalto?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criteri di aggiudicazione prescelti, nel rispetto di quanto disposto dall’art. 95 del Codice?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6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la stazione appaltante si è dotata, eventualmente, in via preliminare, di un proprio regolamento? 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7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quale modalità è stata scelta dalla stazione appaltante, per le indagini esplorative preliminari volte a individuare gli operatori da invitare a presentare preventivo?</w:t>
            </w:r>
          </w:p>
          <w:p w:rsidR="00E76C56" w:rsidRDefault="00E76C56" w:rsidP="00E76C56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Sulla base di indagini di mercato</w:t>
            </w:r>
          </w:p>
          <w:p w:rsidR="00E76C56" w:rsidRDefault="00E76C56" w:rsidP="00E76C56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Tramite elenchi di operatori economici</w:t>
            </w:r>
          </w:p>
          <w:p w:rsidR="00E76C56" w:rsidRDefault="00E76C56" w:rsidP="00E76C56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Mediante consultazioni di cataloghi elettronici del mercato elettronico</w:t>
            </w:r>
          </w:p>
          <w:p w:rsidR="00E76C56" w:rsidRDefault="00E76C56" w:rsidP="00E76C56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Altro (specificare nei commenti)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selezionata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7.a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stazione appaltante ha pubblicato l’attività di esplorazione del mercato nel profilo del committente e la modalità? Nel caso abbia utilizzato altre forme di pubblicità, specificare quali?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8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provveduto ad individuare almeno dieci operatori economici?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9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rispettato il principio di rotazione degli inviti?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dalla documentazione si evince che la stazione appaltante non ha potuto procedere alla selezione degli operatori economici da invitare, ha utilizzato una procedura a sorteggio?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10.a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Si evince dalla documentazione che la stazione appaltante ha debitamente pubblicizzato nell’avviso di indagine esplorativa o nell’avviso di costituzione dell’elenco l’utilizzo di tale procedura?   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10.b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Si evince dalla documentazione che la stazione appaltante ha pubblicizzato la data e il luogo in cui sarà effettuato il sorteggio degli operatori economici?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Il contratto è stato aggiudicato sulla base dell'offerta economicamente più vantaggiosa?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11.a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rapporto qualità/prezzo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11.b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Comparazioni costi/</w:t>
            </w:r>
            <w:proofErr w:type="gramStart"/>
            <w:r>
              <w:rPr>
                <w:rFonts w:ascii="Arial" w:hAnsi="Arial" w:cs="Arial"/>
                <w:lang w:val="it-IT"/>
              </w:rPr>
              <w:t>efficacia(</w:t>
            </w:r>
            <w:proofErr w:type="gramEnd"/>
            <w:r>
              <w:rPr>
                <w:rFonts w:ascii="Arial" w:hAnsi="Arial" w:cs="Arial"/>
                <w:lang w:val="it-IT"/>
              </w:rPr>
              <w:t>costo del ciclo di vita)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11.c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Se </w:t>
            </w:r>
            <w:proofErr w:type="gramStart"/>
            <w:r>
              <w:rPr>
                <w:rFonts w:ascii="Arial" w:hAnsi="Arial" w:cs="Arial"/>
                <w:lang w:val="it-IT"/>
              </w:rPr>
              <w:t>sì,  dalla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documentazione di gara si evince: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i requisiti posseduti dai concorrenti, valutati nella fase di selezione, non siano stati riconsiderati nella fase di aggiudicazione.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b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applicazione del criterio del minor prezzo, di cui all’art. 95 comma 4, la stazione appaltante ha adeguatamente motivato la scelta?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13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ricorso all’offerta economicamente più vantaggiosa, è stata formalizzata la nomina della Commissione di Aggiudicazione secondo le modalità di cui all'art. 77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13.a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14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Dai documenti di gara si evince che la stazione appaltante ha verificato le dichiarazioni circa il possesso dei requisiti di ordine generale di cui 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 e il possesso dei requisiti di ordine speciale richiesti nella lettera di invito o nel bando di gara?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Commissione ha verificato che i criteri utilizzati per la valutazione dell'offerta, nella procedura di aggiudicazione, sono conformi ai criteri pubblicati nel bando di gara?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gara, esplicitano le motivazioni per tutte le decisioni prese dalla Commissione aggiudicatrice?</w:t>
            </w:r>
          </w:p>
          <w:p w:rsidR="00E76C56" w:rsidRDefault="00E76C56" w:rsidP="00E415B9">
            <w:pPr>
              <w:pStyle w:val="Standard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dell'art. 97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 (“offerte anomale”)?   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verificare i seguenti aspetti: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jc w:val="center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17.a.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17.b.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la proposta di aggiudicazione come previsto dall’art. 33 comma 1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provvedimento di aggiudicazione definitiva?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stazione appaltante si è avvalsa della facoltà nei documenti di gara di rendere obbligatoria l’indicazione di una terna di subappaltatori?</w:t>
            </w:r>
          </w:p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i lavori che intende subappaltare?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dell’inizio della prestazione?</w:t>
            </w:r>
          </w:p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20.4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contraente ha prodotto le dichiarazioni dei subappaltatori circa l’assenza dei motivi di esclusione di cui all’art. 80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50/2016, nonché le attestazioni del possesso dei requisiti di qualificazione?</w:t>
            </w:r>
          </w:p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20.5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tabs>
                <w:tab w:val="left" w:pos="692"/>
                <w:tab w:val="left" w:pos="6646"/>
                <w:tab w:val="left" w:pos="9481"/>
              </w:tabs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reso pubblico l’esito della gara secondo quanto stabilito nel bando di gara e nel rispetto dell’art. 76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stato nominato il Direttore dei Lavori e il Coordinatore della sicurezza?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</w:t>
            </w:r>
            <w:proofErr w:type="gramStart"/>
            <w:r>
              <w:rPr>
                <w:rFonts w:ascii="Arial" w:hAnsi="Arial" w:cs="Arial"/>
                <w:bCs/>
              </w:rPr>
              <w:t>2.a</w:t>
            </w:r>
            <w:proofErr w:type="gramEnd"/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</w:t>
            </w:r>
            <w:proofErr w:type="gramStart"/>
            <w:r>
              <w:rPr>
                <w:rFonts w:ascii="Arial" w:hAnsi="Arial" w:cs="Arial"/>
                <w:bCs/>
              </w:rPr>
              <w:t>2.b</w:t>
            </w:r>
            <w:proofErr w:type="gramEnd"/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i lavori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24.2.c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</w:t>
            </w:r>
            <w:proofErr w:type="gramStart"/>
            <w:r>
              <w:rPr>
                <w:rFonts w:ascii="Arial" w:hAnsi="Arial" w:cs="Arial"/>
                <w:bCs/>
              </w:rPr>
              <w:t>2.d</w:t>
            </w:r>
            <w:proofErr w:type="gramEnd"/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24.</w:t>
            </w:r>
            <w:proofErr w:type="gramStart"/>
            <w:r>
              <w:rPr>
                <w:rFonts w:ascii="Arial" w:hAnsi="Arial" w:cs="Arial"/>
                <w:bCs/>
              </w:rPr>
              <w:t>2.e</w:t>
            </w:r>
            <w:proofErr w:type="gramEnd"/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</w:t>
            </w:r>
            <w:proofErr w:type="gramStart"/>
            <w:r>
              <w:rPr>
                <w:rFonts w:ascii="Arial" w:hAnsi="Arial" w:cs="Arial"/>
                <w:lang w:val="it-IT"/>
              </w:rPr>
              <w:t>dell’ art.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25.a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25.b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25.c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presente il Collaudo Finale come previsto all’art. 102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E76C56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26.a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Ricorre una delle ipotesi per il rilascio del certificato di regolare esecuzione?</w:t>
            </w:r>
          </w:p>
          <w:p w:rsidR="00E76C56" w:rsidRDefault="00E76C56" w:rsidP="00E415B9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ind w:left="284" w:right="57"/>
              <w:rPr>
                <w:rFonts w:ascii="Arial" w:hAnsi="Arial" w:cs="Arial"/>
                <w:lang w:val="it-IT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76C56" w:rsidRDefault="00E76C56" w:rsidP="00E415B9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</w:tbl>
    <w:p w:rsidR="00E110CD" w:rsidRDefault="00E110CD"/>
    <w:sectPr w:rsidR="00E110CD" w:rsidSect="00E76C5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414" w:rsidRDefault="00620414">
      <w:pPr>
        <w:spacing w:before="0" w:after="0" w:line="240" w:lineRule="auto"/>
      </w:pPr>
      <w:r>
        <w:separator/>
      </w:r>
    </w:p>
  </w:endnote>
  <w:endnote w:type="continuationSeparator" w:id="0">
    <w:p w:rsidR="00620414" w:rsidRDefault="006204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4"/>
      <w:gridCol w:w="4659"/>
      <w:gridCol w:w="4703"/>
    </w:tblGrid>
    <w:tr w:rsidR="00F751F5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:rsidR="00F751F5" w:rsidRPr="00A01B50" w:rsidRDefault="00F751F5" w:rsidP="00F751F5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:rsidR="00F751F5" w:rsidRPr="0051552A" w:rsidRDefault="00F751F5" w:rsidP="00F751F5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Content>
            <w:p w:rsidR="00F751F5" w:rsidRDefault="00F751F5" w:rsidP="00F751F5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0444C8" w:rsidRPr="00F751F5" w:rsidRDefault="00620414" w:rsidP="00F751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414" w:rsidRDefault="00620414">
      <w:pPr>
        <w:spacing w:before="0" w:after="0" w:line="240" w:lineRule="auto"/>
      </w:pPr>
      <w:r>
        <w:separator/>
      </w:r>
    </w:p>
  </w:footnote>
  <w:footnote w:type="continuationSeparator" w:id="0">
    <w:p w:rsidR="00620414" w:rsidRDefault="0062041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A6A2B"/>
    <w:multiLevelType w:val="multilevel"/>
    <w:tmpl w:val="78EC86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56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0414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76C56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751F5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9E73"/>
  <w15:chartTrackingRefBased/>
  <w15:docId w15:val="{D4108D86-A9CF-40C1-9871-77FE7179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6C56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76C56"/>
    <w:pPr>
      <w:tabs>
        <w:tab w:val="center" w:pos="4819"/>
        <w:tab w:val="right" w:pos="9638"/>
      </w:tabs>
    </w:pPr>
    <w:rPr>
      <w:lang w:eastAsia="ko-KR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C56"/>
    <w:rPr>
      <w:rFonts w:ascii="Verdana" w:eastAsia="Times New Roman" w:hAnsi="Verdana" w:cs="Times New Roman"/>
      <w:sz w:val="20"/>
      <w:szCs w:val="24"/>
      <w:lang w:eastAsia="ko-KR"/>
    </w:rPr>
  </w:style>
  <w:style w:type="paragraph" w:customStyle="1" w:styleId="Standard">
    <w:name w:val="Standard"/>
    <w:rsid w:val="00E76C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751F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51F5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F7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Filippi Annalisa</cp:lastModifiedBy>
  <cp:revision>2</cp:revision>
  <dcterms:created xsi:type="dcterms:W3CDTF">2018-06-22T11:44:00Z</dcterms:created>
  <dcterms:modified xsi:type="dcterms:W3CDTF">2018-06-29T12:55:00Z</dcterms:modified>
</cp:coreProperties>
</file>