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551"/>
        <w:gridCol w:w="2268"/>
        <w:gridCol w:w="2268"/>
        <w:gridCol w:w="2268"/>
        <w:gridCol w:w="2374"/>
      </w:tblGrid>
      <w:tr w:rsidR="006043DF" w:rsidTr="0067072F">
        <w:trPr>
          <w:jc w:val="center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3DF" w:rsidRDefault="006043DF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  <w:p w:rsidR="006043DF" w:rsidRDefault="006043DF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</w:tr>
      <w:tr w:rsidR="006043DF" w:rsidTr="0067072F">
        <w:trPr>
          <w:jc w:val="center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2.2 </w:t>
            </w:r>
          </w:p>
          <w:p w:rsidR="006043DF" w:rsidRDefault="006043DF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NEGOZIA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it-IT"/>
              </w:rPr>
              <w:t>TA SENZA PREVIA PUBBLICAZIONE DI UN BANDO DI GARA DI CUI L’ART. 63</w:t>
            </w:r>
          </w:p>
        </w:tc>
      </w:tr>
      <w:tr w:rsidR="006043DF" w:rsidTr="005C5D11">
        <w:trPr>
          <w:jc w:val="center"/>
        </w:trPr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6043DF" w:rsidTr="005C5D11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3DF" w:rsidRDefault="005C5D11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DELL’AFFIDATARIO: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6043DF" w:rsidTr="005C5D11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6043DF" w:rsidTr="0067072F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3DF" w:rsidRDefault="006043DF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6043DF" w:rsidRDefault="006043DF" w:rsidP="006043DF">
      <w:pPr>
        <w:pStyle w:val="Standard"/>
        <w:jc w:val="both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6043DF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6043DF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6043DF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6043DF" w:rsidRDefault="006043DF" w:rsidP="006043DF">
      <w:pPr>
        <w:rPr>
          <w:szCs w:val="21"/>
        </w:rPr>
      </w:pPr>
    </w:p>
    <w:p w:rsidR="006043DF" w:rsidRDefault="006043DF" w:rsidP="006043DF">
      <w:pPr>
        <w:rPr>
          <w:szCs w:val="21"/>
        </w:rPr>
        <w:sectPr w:rsidR="006043DF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474"/>
        <w:gridCol w:w="1493"/>
        <w:gridCol w:w="4612"/>
      </w:tblGrid>
      <w:tr w:rsidR="006043DF" w:rsidTr="0067072F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VERIFICA DELLE PROCEDURE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r>
              <w:t xml:space="preserve">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r>
              <w:t xml:space="preserve">  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Art. 63 del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50/2016</w:t>
            </w:r>
          </w:p>
          <w:p w:rsidR="006043DF" w:rsidRDefault="006043DF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en-US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en-US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fornito adeguata motivazione per la scelta della procedura?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caso ricorre tra quelli elencati al presente articolo?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particolare: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Non è stata presentata alcuna offerta o alcuna offerta appropriata, né alcuna domanda di partecipazione o alcuna domanda di partecipazione appropriata in esito all'esperimento di una procedura aperta o ristretta?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lavori, le forniture o i servizi possono essere forniti unicamente da un determinato operatore economico?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Sussistono ragioni di estrema urgenza derivante da eventi imprevedibili dall'amministrazione aggiudicatrice?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L'appalto fa seguito ad un concorso di progettazione?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forniture, l’oggetto dell’appalto rientra nelle fattispecie di cui all’art. 63 comma 3?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f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stati affidati nuovi lavori o servizi consistenti nella ripetizione di lavori o servizi analoghi, già affidati all'operatore economico aggiudicatario dell'appalto iniziale?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RUP è </w:t>
            </w:r>
            <w:proofErr w:type="spellStart"/>
            <w:r>
              <w:rPr>
                <w:rFonts w:ascii="Arial" w:hAnsi="Arial" w:cs="Arial"/>
              </w:rPr>
              <w:t>individuato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adozione</w:t>
            </w:r>
            <w:proofErr w:type="spellEnd"/>
            <w:r>
              <w:rPr>
                <w:rFonts w:ascii="Arial" w:hAnsi="Arial" w:cs="Arial"/>
              </w:rPr>
              <w:t xml:space="preserve"> o aggiornamento dei </w:t>
            </w:r>
            <w:proofErr w:type="spellStart"/>
            <w:r>
              <w:rPr>
                <w:rFonts w:ascii="Arial" w:hAnsi="Arial" w:cs="Arial"/>
              </w:rPr>
              <w:t>programmi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all'art</w:t>
            </w:r>
            <w:proofErr w:type="spellEnd"/>
            <w:r>
              <w:rPr>
                <w:rFonts w:ascii="Arial" w:hAnsi="Arial" w:cs="Arial"/>
              </w:rPr>
              <w:t xml:space="preserve">. 21, comma 1, (Programma </w:t>
            </w:r>
            <w:proofErr w:type="spellStart"/>
            <w:r>
              <w:rPr>
                <w:rFonts w:ascii="Arial" w:hAnsi="Arial" w:cs="Arial"/>
              </w:rPr>
              <w:t>degli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acquisti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lavori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pubblici</w:t>
            </w:r>
            <w:proofErr w:type="spellEnd"/>
            <w:r>
              <w:rPr>
                <w:rFonts w:ascii="Arial" w:hAnsi="Arial" w:cs="Arial"/>
              </w:rPr>
              <w:t xml:space="preserve">) o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relativo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ogni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intervento</w:t>
            </w:r>
            <w:proofErr w:type="spellEnd"/>
            <w:r>
              <w:rPr>
                <w:rFonts w:ascii="Arial" w:hAnsi="Arial" w:cs="Arial"/>
              </w:rPr>
              <w:t xml:space="preserve"> per le </w:t>
            </w:r>
            <w:proofErr w:type="spellStart"/>
            <w:r>
              <w:rPr>
                <w:rFonts w:ascii="Arial" w:hAnsi="Arial" w:cs="Arial"/>
              </w:rPr>
              <w:t>esigenze</w:t>
            </w:r>
            <w:proofErr w:type="spellEnd"/>
            <w:r>
              <w:rPr>
                <w:rFonts w:ascii="Arial" w:hAnsi="Arial" w:cs="Arial"/>
              </w:rPr>
              <w:t xml:space="preserve"> non incluse in </w:t>
            </w:r>
            <w:proofErr w:type="spellStart"/>
            <w:proofErr w:type="gram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</w:p>
          <w:p w:rsidR="006043DF" w:rsidRDefault="006043DF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43DF" w:rsidRDefault="006043DF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6043DF" w:rsidRDefault="006043DF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casi di cui al punto 3 lettere da a) ad e):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si è dotata, eventualmente, in via preliminare, di un proprio regolamento? 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6043DF" w:rsidRDefault="006043DF" w:rsidP="006043DF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6043DF" w:rsidRDefault="006043DF" w:rsidP="006043DF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6043DF" w:rsidRDefault="006043DF" w:rsidP="006043DF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6043DF" w:rsidRDefault="006043DF" w:rsidP="0067072F">
            <w:pPr>
              <w:pStyle w:val="Standard"/>
              <w:ind w:left="720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selezionata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 almeno cinque operatori economici?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Si evince dalla documentazione che la stazione appaltante ha debitamente pubblicizzato nell’avviso di indagine esplorativa o nell’avviso di costituzione dell’elenco l’utilizzo di tale procedura?  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evince dalla documentazione che la stazione appaltante ha pubblicizzato la data e il luogo in cui sarà effettuato il sorteggio degli operatori economici?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sì,  dalla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gara è stata fatta sulla base del progetto esecutivo?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ricorso all’offerta economicamente più vantaggiosa, è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il possesso dei requisiti di ordine speciale richiesti nella lettera di invito o nel bando di gara?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:rsidR="006043DF" w:rsidRDefault="006043DF" w:rsidP="0067072F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modifiche apportate all'art.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 (“offerte anomale”)?   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20.a.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20.b.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cui al punto 3 lettera f):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lavori o i servizi sono stati affidati al medesimo operatore economico aggiudicatario dell’appalto iniziale?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lavori o i servizi sono conformi al progetto a base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23.c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progetto è stato oggetto di un primo appalto aggiudicato secondo una procedura di cui all'articolo 59, comma 1?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le procedure sopra soglia: nel caso di lavori, servizi o forniture per i quali non sia necessaria una particolare specializzazione, è stato fatto obbligo di indicare una terna di subappaltatori?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</w:rPr>
            </w:pP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le procedure sotto soglia: la stazione appaltante si è avvalsa della facoltà nei documenti di gara di rendere obbligatoria l’indicazione di una terna di subappaltatori?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le prestazioni che intende subappaltare?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All’atto dell’offerta, il contraente ha dimostrato l’assenza in capo ai subappaltatori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24.5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</w:rPr>
            </w:pP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</w:rPr>
            </w:pP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proofErr w:type="spellStart"/>
            <w:r>
              <w:rPr>
                <w:rFonts w:ascii="Arial" w:hAnsi="Arial" w:cs="Arial"/>
              </w:rPr>
              <w:t>contraente</w:t>
            </w:r>
            <w:proofErr w:type="spellEnd"/>
            <w:r>
              <w:rPr>
                <w:rFonts w:ascii="Arial" w:hAnsi="Arial" w:cs="Arial"/>
              </w:rPr>
              <w:t xml:space="preserve"> ha </w:t>
            </w:r>
            <w:proofErr w:type="spellStart"/>
            <w:r>
              <w:rPr>
                <w:rFonts w:ascii="Arial" w:hAnsi="Arial" w:cs="Arial"/>
              </w:rPr>
              <w:t>prodotto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dichiarazioni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subappaltatori</w:t>
            </w:r>
            <w:proofErr w:type="spellEnd"/>
            <w:r>
              <w:rPr>
                <w:rFonts w:ascii="Arial" w:hAnsi="Arial" w:cs="Arial"/>
              </w:rPr>
              <w:t xml:space="preserve"> circa l’</w:t>
            </w:r>
            <w:proofErr w:type="spellStart"/>
            <w:r>
              <w:rPr>
                <w:rFonts w:ascii="Arial" w:hAnsi="Arial" w:cs="Arial"/>
              </w:rPr>
              <w:t>assenza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motivi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esclusione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all’art</w:t>
            </w:r>
            <w:proofErr w:type="spellEnd"/>
            <w:r>
              <w:rPr>
                <w:rFonts w:ascii="Arial" w:hAnsi="Arial" w:cs="Arial"/>
              </w:rPr>
              <w:t xml:space="preserve">. 80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50/2016, </w:t>
            </w:r>
            <w:proofErr w:type="spellStart"/>
            <w:r>
              <w:rPr>
                <w:rFonts w:ascii="Arial" w:hAnsi="Arial" w:cs="Arial"/>
              </w:rPr>
              <w:t>nonché</w:t>
            </w:r>
            <w:proofErr w:type="spellEnd"/>
            <w:r>
              <w:rPr>
                <w:rFonts w:ascii="Arial" w:hAnsi="Arial" w:cs="Arial"/>
              </w:rPr>
              <w:t xml:space="preserve"> le </w:t>
            </w:r>
            <w:proofErr w:type="spellStart"/>
            <w:r>
              <w:rPr>
                <w:rFonts w:ascii="Arial" w:hAnsi="Arial" w:cs="Arial"/>
              </w:rPr>
              <w:t>attestazioni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possesso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requisiti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qualificazione</w:t>
            </w:r>
            <w:proofErr w:type="spellEnd"/>
            <w:r>
              <w:rPr>
                <w:rFonts w:ascii="Arial" w:hAnsi="Arial" w:cs="Arial"/>
              </w:rPr>
              <w:t> ?</w:t>
            </w:r>
          </w:p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E’stato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nominato il Direttore dei Lavori o il Direttore dell’Esecuzione?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</w:t>
            </w:r>
            <w:proofErr w:type="gramStart"/>
            <w:r>
              <w:rPr>
                <w:rFonts w:ascii="Arial" w:hAnsi="Arial" w:cs="Arial"/>
                <w:bCs/>
              </w:rPr>
              <w:t>2.a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o i servizi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28.2b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28.2.c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</w:t>
            </w:r>
            <w:proofErr w:type="gramStart"/>
            <w:r>
              <w:rPr>
                <w:rFonts w:ascii="Arial" w:hAnsi="Arial" w:cs="Arial"/>
                <w:bCs/>
              </w:rPr>
              <w:t>2.d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o la Verifica di Conformità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6043DF" w:rsidTr="0067072F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Ricorre una delle ipotesi per il rilascio del certificato di regolare esecuzione?</w:t>
            </w:r>
          </w:p>
          <w:p w:rsidR="006043DF" w:rsidRDefault="006043DF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43DF" w:rsidRDefault="006043DF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043DF" w:rsidRDefault="006043DF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:rsidR="006043DF" w:rsidRDefault="006043DF" w:rsidP="006043DF">
      <w:pPr>
        <w:pStyle w:val="Standard"/>
        <w:ind w:left="720"/>
        <w:rPr>
          <w:lang w:val="it-IT"/>
        </w:rPr>
      </w:pPr>
    </w:p>
    <w:p w:rsidR="006043DF" w:rsidRDefault="006043DF" w:rsidP="006043DF">
      <w:pPr>
        <w:pStyle w:val="Standard"/>
        <w:ind w:left="720"/>
        <w:rPr>
          <w:lang w:val="it-IT"/>
        </w:rPr>
      </w:pPr>
    </w:p>
    <w:p w:rsidR="00E110CD" w:rsidRDefault="00E110CD"/>
    <w:sectPr w:rsidR="00E110CD" w:rsidSect="006043D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96" w:rsidRDefault="00D35096">
      <w:pPr>
        <w:spacing w:before="0" w:after="0" w:line="240" w:lineRule="auto"/>
      </w:pPr>
      <w:r>
        <w:separator/>
      </w:r>
    </w:p>
  </w:endnote>
  <w:endnote w:type="continuationSeparator" w:id="0">
    <w:p w:rsidR="00D35096" w:rsidRDefault="00D350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5C5D11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5C5D11" w:rsidRPr="00A01B50" w:rsidRDefault="005C5D11" w:rsidP="005C5D11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5C5D11" w:rsidRPr="0051552A" w:rsidRDefault="005C5D11" w:rsidP="005C5D11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5C5D11" w:rsidRDefault="005C5D11" w:rsidP="005C5D11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444C8" w:rsidRDefault="00D350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96" w:rsidRDefault="00D35096">
      <w:pPr>
        <w:spacing w:before="0" w:after="0" w:line="240" w:lineRule="auto"/>
      </w:pPr>
      <w:r>
        <w:separator/>
      </w:r>
    </w:p>
  </w:footnote>
  <w:footnote w:type="continuationSeparator" w:id="0">
    <w:p w:rsidR="00D35096" w:rsidRDefault="00D350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01E0"/>
    <w:multiLevelType w:val="multilevel"/>
    <w:tmpl w:val="34CE54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D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5D11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3DF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1DA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096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473C"/>
  <w15:chartTrackingRefBased/>
  <w15:docId w15:val="{A135DE51-B77E-42F9-878F-E458A42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3DF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043D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3D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6043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C5D11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D11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5C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2018-06-28T11:58:00Z</dcterms:created>
  <dcterms:modified xsi:type="dcterms:W3CDTF">2018-06-29T12:48:00Z</dcterms:modified>
</cp:coreProperties>
</file>