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B9" w:rsidRDefault="00391DB9" w:rsidP="00391DB9">
      <w:pPr>
        <w:autoSpaceDE w:val="0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385"/>
        <w:gridCol w:w="40"/>
        <w:gridCol w:w="2468"/>
        <w:gridCol w:w="83"/>
        <w:gridCol w:w="2208"/>
        <w:gridCol w:w="60"/>
        <w:gridCol w:w="2232"/>
        <w:gridCol w:w="36"/>
        <w:gridCol w:w="2255"/>
        <w:gridCol w:w="13"/>
        <w:gridCol w:w="2374"/>
      </w:tblGrid>
      <w:tr w:rsidR="00391DB9" w:rsidTr="0067072F">
        <w:trPr>
          <w:jc w:val="center"/>
        </w:trPr>
        <w:tc>
          <w:tcPr>
            <w:tcW w:w="14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B9" w:rsidRDefault="00391DB9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contratti pubblici di importo inferiore alle soglie di rilevanza comunitaria</w:t>
            </w:r>
          </w:p>
          <w:p w:rsidR="00391DB9" w:rsidRDefault="00391DB9" w:rsidP="0067072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AGGIORNATA 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56/2017</w:t>
            </w:r>
          </w:p>
        </w:tc>
      </w:tr>
      <w:tr w:rsidR="00391DB9" w:rsidTr="0067072F">
        <w:trPr>
          <w:jc w:val="center"/>
        </w:trPr>
        <w:tc>
          <w:tcPr>
            <w:tcW w:w="14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 2.1a – SERVIZI - FORNITURE.</w:t>
            </w:r>
          </w:p>
          <w:p w:rsidR="00391DB9" w:rsidRDefault="00391DB9" w:rsidP="0067072F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PROCEDURA NEGOZIATA PER L’AFFIDAMENTO DI CONTRATTI DI </w:t>
            </w:r>
            <w:r>
              <w:rPr>
                <w:rFonts w:ascii="Arial" w:hAnsi="Arial" w:cs="Arial"/>
                <w:b/>
                <w:bCs/>
                <w:u w:val="single"/>
                <w:lang w:val="it-IT"/>
              </w:rPr>
              <w:t>SERVIZI E FORNITURE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DI IMPORTI SUPERIORI A 40.000,00 EURO E INFERIORI ALLE SOGLIE DI RILEVANZA COMUNITARIA DI CUI ALL’ART. 35 – Procedura negoziata</w:t>
            </w:r>
          </w:p>
        </w:tc>
      </w:tr>
      <w:tr w:rsidR="00391DB9" w:rsidTr="0067072F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91DB9" w:rsidTr="0067072F">
        <w:trPr>
          <w:jc w:val="center"/>
        </w:trPr>
        <w:tc>
          <w:tcPr>
            <w:tcW w:w="14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391DB9" w:rsidTr="0067072F">
        <w:trPr>
          <w:jc w:val="center"/>
        </w:trPr>
        <w:tc>
          <w:tcPr>
            <w:tcW w:w="14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– Nel caso la Stazione appaltante sia un Comune non capoluogo di Provincia, l’acquisizione di lavori è avvenuta secondo le modalità previste dall’art. 37 co. 4</w:t>
            </w:r>
          </w:p>
        </w:tc>
      </w:tr>
      <w:tr w:rsidR="00391DB9" w:rsidTr="0067072F">
        <w:trPr>
          <w:jc w:val="center"/>
        </w:trPr>
        <w:tc>
          <w:tcPr>
            <w:tcW w:w="5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 o a soggetti aggregatori qualificati.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unioni di Comuni costituite o qualificate come Centrali di committenza o associandosi o consorziandosi in Centrali di committenza.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alla stazione unica appaltante costituita presso le province, le città metropolitane e gli enti di area vasta ai sensi della legge 7 aprile 2014, n. 56.</w:t>
            </w:r>
          </w:p>
          <w:p w:rsidR="00391DB9" w:rsidRDefault="00391DB9" w:rsidP="0067072F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Disposizione modificata di cui all’art.37 co.4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</w:tr>
      <w:tr w:rsidR="00391DB9" w:rsidTr="0067072F">
        <w:trPr>
          <w:jc w:val="center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91DB9" w:rsidTr="0067072F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91DB9" w:rsidTr="0067072F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391DB9" w:rsidTr="0067072F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B9" w:rsidRDefault="00391DB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391DB9" w:rsidRDefault="00391DB9" w:rsidP="00391DB9">
      <w:pPr>
        <w:pStyle w:val="Standard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391DB9" w:rsidTr="0067072F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391DB9" w:rsidTr="0067072F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DB9" w:rsidRDefault="00391DB9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391DB9" w:rsidTr="0067072F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391DB9" w:rsidRDefault="00391DB9" w:rsidP="00391DB9">
      <w:pPr>
        <w:rPr>
          <w:szCs w:val="21"/>
        </w:rPr>
      </w:pPr>
    </w:p>
    <w:p w:rsidR="00391DB9" w:rsidRDefault="00391DB9" w:rsidP="00391DB9">
      <w:pPr>
        <w:rPr>
          <w:szCs w:val="21"/>
        </w:rPr>
        <w:sectPr w:rsidR="00391DB9">
          <w:footerReference w:type="default" r:id="rId7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475"/>
        <w:gridCol w:w="1493"/>
        <w:gridCol w:w="4612"/>
      </w:tblGrid>
      <w:tr w:rsidR="00391DB9" w:rsidTr="0067072F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DB9" w:rsidRDefault="00391DB9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VERIFICA DELLE PROCEDURE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DB9" w:rsidRDefault="00391DB9" w:rsidP="0067072F">
            <w:r>
              <w:t xml:space="preserve"> 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DB9" w:rsidRDefault="00391DB9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DB9" w:rsidRDefault="00391DB9" w:rsidP="0067072F">
            <w:r>
              <w:t xml:space="preserve">  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artt. 30 comma 1, 34 (CAM) e 42 (Conflitto d’interesse)?</w:t>
            </w:r>
          </w:p>
          <w:p w:rsidR="00391DB9" w:rsidRDefault="00391DB9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Art. 36 comma 2 lett. b)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391DB9" w:rsidRDefault="00391DB9" w:rsidP="0067072F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RUP è individuato nell'atto di adozione o aggiornamento dei programmi di cui all'art. 21, comma 1, (Programma degli acquisti e programmazione dei lavori pubblici) o nell'atto di avvio relativo ad ogni singolo intervento per le esigenze non incluse in programmazione?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si è dotata, eventualmente, in via preliminare, di un proprio regolamento? 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:rsidR="00391DB9" w:rsidRDefault="00391DB9" w:rsidP="00391DB9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:rsidR="00391DB9" w:rsidRDefault="00391DB9" w:rsidP="00391DB9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:rsidR="00391DB9" w:rsidRDefault="00391DB9" w:rsidP="00391DB9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:rsidR="00391DB9" w:rsidRDefault="00391DB9" w:rsidP="0067072F">
            <w:pPr>
              <w:pStyle w:val="Standard"/>
              <w:ind w:left="720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selezionata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7.a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8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provveduto ad individuare, ove esistenti, almeno dieci operatori economici?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56/2017, art. 36, comma 2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Si evince dalla documentazione che la stazione appaltante ha debitamente pubblicizzato nell’avviso di indagine esplorativa o nell’avviso di costituzione dell’elenco l’utilizzo di tale procedura? 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10.b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Si evince dalla documentazione che la stazione appaltante ha pubblicizzato la data e il luogo in cui sarà effettuato il sorteggio degli operatori economici?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contratto è stato aggiudicato sulla base dell'offerta economicamente più vantaggiosa?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rapporto qualità/prezzo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11.b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Comparazioni costi/</w:t>
            </w:r>
            <w:proofErr w:type="gramStart"/>
            <w:r>
              <w:rPr>
                <w:rFonts w:ascii="Arial" w:hAnsi="Arial" w:cs="Arial"/>
                <w:lang w:val="it-IT"/>
              </w:rPr>
              <w:t>efficacia(</w:t>
            </w:r>
            <w:proofErr w:type="gramEnd"/>
            <w:r>
              <w:rPr>
                <w:rFonts w:ascii="Arial" w:hAnsi="Arial" w:cs="Arial"/>
                <w:lang w:val="it-IT"/>
              </w:rPr>
              <w:t>costo del ciclo di vita)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11.c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sì, </w:t>
            </w:r>
            <w:bookmarkStart w:id="0" w:name="_GoBack"/>
            <w:bookmarkEnd w:id="0"/>
            <w:r>
              <w:rPr>
                <w:rFonts w:ascii="Arial" w:hAnsi="Arial" w:cs="Arial"/>
                <w:lang w:val="it-IT"/>
              </w:rPr>
              <w:t>dalla documentazione di gara si evince: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391DB9" w:rsidRDefault="00391DB9" w:rsidP="0067072F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12.a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gara è stata fatta sulla base del progetto esecutivo?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13.a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13.b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All’apertura delle buste, la Commissione giudicatrice era validamente costituita?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14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e il possesso dei requisiti di ordine speciale richiesti nella lettera di invito o nel bando di gara?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aggiudicatrice?</w:t>
            </w:r>
          </w:p>
          <w:p w:rsidR="00391DB9" w:rsidRDefault="00391DB9" w:rsidP="0067072F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delle modifiche apportate all'art.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(“offerte anomale”)?   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verificare i seguenti aspetti: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17.a.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17.b.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servizi o forniture per i quali non sia necessario una particolare specializzazione, è stato fatto obbligo di indicare una terna di subappaltatori?</w:t>
            </w:r>
          </w:p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i servizi e/o le forniture che intende subappaltare?</w:t>
            </w:r>
          </w:p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20.3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prestazione?</w:t>
            </w:r>
          </w:p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20.4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20.5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capitolati e il computo metrico estimativo, richiamati nel bando o nell’invito, fanno parte del contratto come previsto dall’art. 32 comma 14-bis?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 ’stato nominato il Direttore dell’Esecuzione?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2.a</w:t>
            </w:r>
            <w:proofErr w:type="gramEnd"/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24.</w:t>
            </w:r>
            <w:proofErr w:type="gramStart"/>
            <w:r>
              <w:rPr>
                <w:rFonts w:ascii="Arial" w:hAnsi="Arial" w:cs="Arial"/>
                <w:bCs/>
              </w:rPr>
              <w:t>2.b</w:t>
            </w:r>
            <w:proofErr w:type="gramEnd"/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servizi o forniture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24.2.c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2.d</w:t>
            </w:r>
            <w:proofErr w:type="gramEnd"/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2.e</w:t>
            </w:r>
            <w:proofErr w:type="gramEnd"/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25.b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25.c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Verifica di Conformità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91DB9" w:rsidTr="0067072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con quale documento è stato sostituito</w:t>
            </w:r>
          </w:p>
          <w:p w:rsidR="00391DB9" w:rsidRDefault="00391DB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DB9" w:rsidRDefault="00391DB9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DB9" w:rsidRDefault="00391DB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:rsidR="00391DB9" w:rsidRDefault="00391DB9" w:rsidP="00391DB9">
      <w:pPr>
        <w:pStyle w:val="Standard"/>
        <w:ind w:left="720"/>
        <w:rPr>
          <w:lang w:val="it-IT"/>
        </w:rPr>
      </w:pPr>
    </w:p>
    <w:p w:rsidR="00E110CD" w:rsidRPr="00391DB9" w:rsidRDefault="00E110CD" w:rsidP="00391DB9"/>
    <w:sectPr w:rsidR="00E110CD" w:rsidRPr="00391DB9" w:rsidSect="00391DB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662" w:rsidRDefault="00DC0662">
      <w:pPr>
        <w:spacing w:before="0" w:after="0" w:line="240" w:lineRule="auto"/>
      </w:pPr>
      <w:r>
        <w:separator/>
      </w:r>
    </w:p>
  </w:endnote>
  <w:endnote w:type="continuationSeparator" w:id="0">
    <w:p w:rsidR="00DC0662" w:rsidRDefault="00DC06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4C8" w:rsidRDefault="00DC0662">
    <w:pPr>
      <w:pStyle w:val="Pidipagina"/>
      <w:jc w:val="right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DF4DD8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DF4DD8" w:rsidRPr="00A01B50" w:rsidRDefault="00DF4DD8" w:rsidP="00DF4DD8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DF4DD8" w:rsidRPr="0051552A" w:rsidRDefault="00DF4DD8" w:rsidP="00DF4DD8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DF4DD8" w:rsidRDefault="00DF4DD8" w:rsidP="00DF4DD8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0444C8" w:rsidRDefault="00DC06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662" w:rsidRDefault="00DC0662">
      <w:pPr>
        <w:spacing w:before="0" w:after="0" w:line="240" w:lineRule="auto"/>
      </w:pPr>
      <w:r>
        <w:separator/>
      </w:r>
    </w:p>
  </w:footnote>
  <w:footnote w:type="continuationSeparator" w:id="0">
    <w:p w:rsidR="00DC0662" w:rsidRDefault="00DC06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E4D23"/>
    <w:multiLevelType w:val="multilevel"/>
    <w:tmpl w:val="E41A3B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B9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13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1DB9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0662"/>
    <w:rsid w:val="00DC140F"/>
    <w:rsid w:val="00DC22A1"/>
    <w:rsid w:val="00DC3637"/>
    <w:rsid w:val="00DC3D89"/>
    <w:rsid w:val="00DE10D7"/>
    <w:rsid w:val="00DE57C6"/>
    <w:rsid w:val="00DF4DD8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3CBA"/>
  <w15:chartTrackingRefBased/>
  <w15:docId w15:val="{DA632A8B-3D5E-4D4E-A92E-912B6D8E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1DB9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91D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Pidipagina">
    <w:name w:val="footer"/>
    <w:basedOn w:val="Normale"/>
    <w:link w:val="PidipaginaCarattere"/>
    <w:uiPriority w:val="99"/>
    <w:rsid w:val="00391DB9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DB9"/>
    <w:rPr>
      <w:rFonts w:ascii="Verdana" w:eastAsia="Times New Roman" w:hAnsi="Verdana" w:cs="Times New Roman"/>
      <w:sz w:val="20"/>
      <w:szCs w:val="24"/>
      <w:lang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DF4DD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DD8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DF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2018-06-28T11:57:00Z</dcterms:created>
  <dcterms:modified xsi:type="dcterms:W3CDTF">2018-06-29T12:44:00Z</dcterms:modified>
</cp:coreProperties>
</file>