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3A471" w14:textId="5126B4C1" w:rsidR="0B1FBF0D" w:rsidRDefault="0B1FBF0D" w:rsidP="22A6E7B2">
      <w:pPr>
        <w:jc w:val="both"/>
        <w:rPr>
          <w:rFonts w:ascii="Verdana" w:eastAsia="Verdana" w:hAnsi="Verdana" w:cs="Verdana"/>
          <w:sz w:val="20"/>
          <w:szCs w:val="20"/>
        </w:rPr>
      </w:pPr>
      <w:r w:rsidRPr="22A6E7B2">
        <w:rPr>
          <w:rFonts w:ascii="Verdana" w:eastAsia="Verdana" w:hAnsi="Verdana" w:cs="Verdana"/>
          <w:sz w:val="20"/>
          <w:szCs w:val="20"/>
        </w:rPr>
        <w:t>Il</w:t>
      </w:r>
      <w:r w:rsidR="45933F9C" w:rsidRPr="22A6E7B2">
        <w:rPr>
          <w:rFonts w:ascii="Verdana" w:eastAsia="Verdana" w:hAnsi="Verdana" w:cs="Verdana"/>
          <w:sz w:val="20"/>
          <w:szCs w:val="20"/>
        </w:rPr>
        <w:t xml:space="preserve"> </w:t>
      </w:r>
      <w:r w:rsidR="7729F4F5" w:rsidRPr="22A6E7B2">
        <w:rPr>
          <w:rFonts w:ascii="Verdana" w:eastAsia="Verdana" w:hAnsi="Verdana" w:cs="Verdana"/>
          <w:sz w:val="20"/>
          <w:szCs w:val="20"/>
        </w:rPr>
        <w:t>Decreto-legge</w:t>
      </w:r>
      <w:r w:rsidRPr="22A6E7B2">
        <w:rPr>
          <w:rFonts w:ascii="Verdana" w:eastAsia="Verdana" w:hAnsi="Verdana" w:cs="Verdana"/>
          <w:sz w:val="20"/>
          <w:szCs w:val="20"/>
        </w:rPr>
        <w:t xml:space="preserve"> n. 76</w:t>
      </w:r>
      <w:r w:rsidR="7D0C5937" w:rsidRPr="22A6E7B2">
        <w:rPr>
          <w:rFonts w:ascii="Verdana" w:eastAsia="Verdana" w:hAnsi="Verdana" w:cs="Verdana"/>
          <w:sz w:val="20"/>
          <w:szCs w:val="20"/>
        </w:rPr>
        <w:t xml:space="preserve"> del </w:t>
      </w:r>
      <w:r w:rsidR="7F9535F1" w:rsidRPr="22A6E7B2">
        <w:rPr>
          <w:rFonts w:ascii="Verdana" w:eastAsia="Verdana" w:hAnsi="Verdana" w:cs="Verdana"/>
          <w:sz w:val="20"/>
          <w:szCs w:val="20"/>
        </w:rPr>
        <w:t xml:space="preserve">16/07/2020 </w:t>
      </w:r>
      <w:r w:rsidR="7D0C5937" w:rsidRPr="22A6E7B2">
        <w:rPr>
          <w:rFonts w:ascii="Verdana" w:eastAsia="Verdana" w:hAnsi="Verdana" w:cs="Verdana"/>
          <w:sz w:val="20"/>
          <w:szCs w:val="20"/>
        </w:rPr>
        <w:t>convertito in Legge</w:t>
      </w:r>
      <w:r w:rsidRPr="22A6E7B2">
        <w:rPr>
          <w:rFonts w:ascii="Verdana" w:eastAsia="Verdana" w:hAnsi="Verdana" w:cs="Verdana"/>
          <w:sz w:val="20"/>
          <w:szCs w:val="20"/>
        </w:rPr>
        <w:t xml:space="preserve"> </w:t>
      </w:r>
      <w:r w:rsidR="71A80603" w:rsidRPr="22A6E7B2">
        <w:rPr>
          <w:rFonts w:ascii="Verdana" w:eastAsia="Verdana" w:hAnsi="Verdana" w:cs="Verdana"/>
          <w:sz w:val="20"/>
          <w:szCs w:val="20"/>
        </w:rPr>
        <w:t>n. 120 del 14/09/2020</w:t>
      </w:r>
      <w:r w:rsidR="6A897E5A" w:rsidRPr="22A6E7B2">
        <w:rPr>
          <w:rFonts w:ascii="Verdana" w:eastAsia="Verdana" w:hAnsi="Verdana" w:cs="Verdana"/>
          <w:sz w:val="20"/>
          <w:szCs w:val="20"/>
        </w:rPr>
        <w:t>,</w:t>
      </w:r>
      <w:r w:rsidR="71A80603" w:rsidRPr="22A6E7B2">
        <w:rPr>
          <w:rFonts w:ascii="Verdana" w:eastAsia="Verdana" w:hAnsi="Verdana" w:cs="Verdana"/>
          <w:sz w:val="20"/>
          <w:szCs w:val="20"/>
        </w:rPr>
        <w:t xml:space="preserve"> per quanto riguarda le procedure ordinarie</w:t>
      </w:r>
      <w:r w:rsidR="3EE03DA4" w:rsidRPr="22A6E7B2">
        <w:rPr>
          <w:rFonts w:ascii="Verdana" w:eastAsia="Verdana" w:hAnsi="Verdana" w:cs="Verdana"/>
          <w:sz w:val="20"/>
          <w:szCs w:val="20"/>
        </w:rPr>
        <w:t>,</w:t>
      </w:r>
      <w:r w:rsidR="71A80603" w:rsidRPr="22A6E7B2">
        <w:rPr>
          <w:rFonts w:ascii="Verdana" w:eastAsia="Verdana" w:hAnsi="Verdana" w:cs="Verdana"/>
          <w:sz w:val="20"/>
          <w:szCs w:val="20"/>
        </w:rPr>
        <w:t xml:space="preserve"> </w:t>
      </w:r>
      <w:r w:rsidR="3560117D" w:rsidRPr="22A6E7B2">
        <w:rPr>
          <w:rFonts w:ascii="Verdana" w:eastAsia="Verdana" w:hAnsi="Verdana" w:cs="Verdana"/>
          <w:sz w:val="20"/>
          <w:szCs w:val="20"/>
        </w:rPr>
        <w:t xml:space="preserve">introduce una norma derogatoria </w:t>
      </w:r>
      <w:r w:rsidR="3E942A33" w:rsidRPr="22A6E7B2">
        <w:rPr>
          <w:rFonts w:ascii="Verdana" w:eastAsia="Verdana" w:hAnsi="Verdana" w:cs="Verdana"/>
          <w:sz w:val="20"/>
          <w:szCs w:val="20"/>
        </w:rPr>
        <w:t>dei</w:t>
      </w:r>
      <w:r w:rsidR="3560117D" w:rsidRPr="22A6E7B2">
        <w:rPr>
          <w:rFonts w:ascii="Verdana" w:eastAsia="Verdana" w:hAnsi="Verdana" w:cs="Verdana"/>
          <w:sz w:val="20"/>
          <w:szCs w:val="20"/>
        </w:rPr>
        <w:t xml:space="preserve"> termini minimi</w:t>
      </w:r>
      <w:r w:rsidR="3A6BF068" w:rsidRPr="22A6E7B2">
        <w:rPr>
          <w:rFonts w:ascii="Verdana" w:eastAsia="Verdana" w:hAnsi="Verdana" w:cs="Verdana"/>
          <w:sz w:val="20"/>
          <w:szCs w:val="20"/>
        </w:rPr>
        <w:t xml:space="preserve"> richiamato all’art. 8 comma 1 lettera c)</w:t>
      </w:r>
      <w:r w:rsidR="38D41D79" w:rsidRPr="22A6E7B2">
        <w:rPr>
          <w:rFonts w:ascii="Verdana" w:eastAsia="Verdana" w:hAnsi="Verdana" w:cs="Verdana"/>
          <w:sz w:val="20"/>
          <w:szCs w:val="20"/>
        </w:rPr>
        <w:t xml:space="preserve"> che afferma:</w:t>
      </w:r>
    </w:p>
    <w:p w14:paraId="7EF080C1" w14:textId="41C54EE5" w:rsidR="5EE70D5E" w:rsidRDefault="5EE70D5E" w:rsidP="22A6E7B2">
      <w:pPr>
        <w:jc w:val="both"/>
        <w:rPr>
          <w:rFonts w:ascii="Verdana" w:eastAsia="Verdana" w:hAnsi="Verdana" w:cs="Verdana"/>
          <w:sz w:val="20"/>
          <w:szCs w:val="20"/>
          <w:u w:val="single"/>
        </w:rPr>
      </w:pPr>
      <w:r w:rsidRPr="22A6E7B2">
        <w:rPr>
          <w:rFonts w:ascii="Verdana" w:eastAsia="Verdana" w:hAnsi="Verdana" w:cs="Verdana"/>
          <w:sz w:val="20"/>
          <w:szCs w:val="20"/>
        </w:rPr>
        <w:t xml:space="preserve">“in relazione alle procedure ordinarie, si applicano le riduzioni dei termini procedimentali per ragioni di urgenza di cui agli articoli 60, comma 3, 61, comma 6, 62 comma 5, 74, commi 2 e 3, del decreto legislativo n. 50 del 2016. </w:t>
      </w:r>
      <w:r w:rsidRPr="22A6E7B2">
        <w:rPr>
          <w:rFonts w:ascii="Verdana" w:eastAsia="Verdana" w:hAnsi="Verdana" w:cs="Verdana"/>
          <w:sz w:val="20"/>
          <w:szCs w:val="20"/>
          <w:u w:val="single"/>
        </w:rPr>
        <w:t>Nella motivazione del provvedimento che dispone la riduzione dei termini non è necessario dar conto delle ragioni di urgenza, che si considerano comunque sussistenti”.</w:t>
      </w:r>
    </w:p>
    <w:p w14:paraId="7610ECE8" w14:textId="65AFA00F" w:rsidR="5EE70D5E" w:rsidRDefault="5EE70D5E" w:rsidP="22A6E7B2">
      <w:pPr>
        <w:jc w:val="both"/>
        <w:rPr>
          <w:rFonts w:ascii="Verdana" w:eastAsia="Verdana" w:hAnsi="Verdana" w:cs="Verdana"/>
          <w:sz w:val="20"/>
          <w:szCs w:val="20"/>
        </w:rPr>
      </w:pPr>
      <w:r w:rsidRPr="22A6E7B2">
        <w:rPr>
          <w:rFonts w:ascii="Verdana" w:eastAsia="Verdana" w:hAnsi="Verdana" w:cs="Verdana"/>
          <w:sz w:val="20"/>
          <w:szCs w:val="20"/>
        </w:rPr>
        <w:t>Per facilitare la comprensione si allega la seguente tabella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3212"/>
        <w:gridCol w:w="2211"/>
        <w:gridCol w:w="3724"/>
      </w:tblGrid>
      <w:tr w:rsidR="22A6E7B2" w14:paraId="40C18BAE" w14:textId="77777777" w:rsidTr="22A6E7B2">
        <w:tc>
          <w:tcPr>
            <w:tcW w:w="3212" w:type="dxa"/>
            <w:vAlign w:val="center"/>
          </w:tcPr>
          <w:p w14:paraId="30B96096" w14:textId="121208D1" w:rsidR="6427A363" w:rsidRDefault="6427A363" w:rsidP="22A6E7B2">
            <w:pPr>
              <w:spacing w:after="160" w:line="259" w:lineRule="auto"/>
              <w:jc w:val="both"/>
              <w:rPr>
                <w:rFonts w:ascii="Verdana" w:eastAsia="Verdana" w:hAnsi="Verdana" w:cs="Verdana"/>
                <w:noProof/>
                <w:sz w:val="20"/>
                <w:szCs w:val="20"/>
                <w:lang w:val="en-US"/>
              </w:rPr>
            </w:pPr>
            <w:r w:rsidRPr="22A6E7B2">
              <w:rPr>
                <w:rFonts w:ascii="Verdana" w:eastAsia="Verdana" w:hAnsi="Verdana" w:cs="Verdana"/>
                <w:noProof/>
                <w:sz w:val="20"/>
                <w:szCs w:val="20"/>
                <w:lang w:val="en-US"/>
              </w:rPr>
              <w:t>T</w:t>
            </w:r>
            <w:r w:rsidR="22A6E7B2" w:rsidRPr="22A6E7B2">
              <w:rPr>
                <w:rFonts w:ascii="Verdana" w:eastAsia="Verdana" w:hAnsi="Verdana" w:cs="Verdana"/>
                <w:noProof/>
                <w:sz w:val="20"/>
                <w:szCs w:val="20"/>
                <w:lang w:val="en-US"/>
              </w:rPr>
              <w:t>IPO PROCEDURA</w:t>
            </w:r>
          </w:p>
        </w:tc>
        <w:tc>
          <w:tcPr>
            <w:tcW w:w="2211" w:type="dxa"/>
            <w:vAlign w:val="center"/>
          </w:tcPr>
          <w:p w14:paraId="6836FC06" w14:textId="08C40F76" w:rsidR="22A6E7B2" w:rsidRDefault="22A6E7B2" w:rsidP="22A6E7B2">
            <w:pPr>
              <w:spacing w:after="160" w:line="259" w:lineRule="auto"/>
              <w:jc w:val="both"/>
              <w:rPr>
                <w:rFonts w:ascii="Verdana" w:eastAsia="Verdana" w:hAnsi="Verdana" w:cs="Verdana"/>
                <w:noProof/>
                <w:sz w:val="20"/>
                <w:szCs w:val="20"/>
                <w:lang w:val="en-US"/>
              </w:rPr>
            </w:pPr>
            <w:r w:rsidRPr="22A6E7B2">
              <w:rPr>
                <w:rFonts w:ascii="Verdana" w:eastAsia="Verdana" w:hAnsi="Verdana" w:cs="Verdana"/>
                <w:noProof/>
                <w:sz w:val="20"/>
                <w:szCs w:val="20"/>
                <w:lang w:val="en-US"/>
              </w:rPr>
              <w:t>Termine minimo</w:t>
            </w:r>
          </w:p>
        </w:tc>
        <w:tc>
          <w:tcPr>
            <w:tcW w:w="3724" w:type="dxa"/>
            <w:vAlign w:val="center"/>
          </w:tcPr>
          <w:p w14:paraId="32244820" w14:textId="1AA1E62D" w:rsidR="22A6E7B2" w:rsidRDefault="22A6E7B2" w:rsidP="22A6E7B2">
            <w:pPr>
              <w:spacing w:after="160" w:line="259" w:lineRule="auto"/>
              <w:jc w:val="both"/>
              <w:rPr>
                <w:rFonts w:ascii="Verdana" w:eastAsia="Verdana" w:hAnsi="Verdana" w:cs="Verdana"/>
                <w:noProof/>
                <w:sz w:val="20"/>
                <w:szCs w:val="20"/>
                <w:lang w:val="en-US"/>
              </w:rPr>
            </w:pPr>
            <w:r w:rsidRPr="22A6E7B2">
              <w:rPr>
                <w:rFonts w:ascii="Verdana" w:eastAsia="Verdana" w:hAnsi="Verdana" w:cs="Verdana"/>
                <w:noProof/>
                <w:sz w:val="20"/>
                <w:szCs w:val="20"/>
                <w:lang w:val="en-US"/>
              </w:rPr>
              <w:t>Decorrenza</w:t>
            </w:r>
          </w:p>
        </w:tc>
      </w:tr>
      <w:tr w:rsidR="22A6E7B2" w14:paraId="36EDD007" w14:textId="77777777" w:rsidTr="22A6E7B2">
        <w:tc>
          <w:tcPr>
            <w:tcW w:w="3212" w:type="dxa"/>
            <w:vAlign w:val="center"/>
          </w:tcPr>
          <w:p w14:paraId="577D816C" w14:textId="35962720" w:rsidR="22A6E7B2" w:rsidRDefault="22A6E7B2" w:rsidP="22A6E7B2">
            <w:pPr>
              <w:jc w:val="both"/>
              <w:rPr>
                <w:rFonts w:ascii="Verdana" w:eastAsia="Verdana" w:hAnsi="Verdana" w:cs="Verdana"/>
                <w:b/>
                <w:bCs/>
                <w:noProof/>
                <w:sz w:val="20"/>
                <w:szCs w:val="20"/>
                <w:lang w:val="en-US"/>
              </w:rPr>
            </w:pPr>
            <w:r w:rsidRPr="22A6E7B2">
              <w:rPr>
                <w:rFonts w:ascii="Verdana" w:eastAsia="Verdana" w:hAnsi="Verdana" w:cs="Verdana"/>
                <w:b/>
                <w:bCs/>
                <w:noProof/>
                <w:sz w:val="20"/>
                <w:szCs w:val="20"/>
                <w:lang w:val="en-US"/>
              </w:rPr>
              <w:t>PROCEDURA APERTA</w:t>
            </w:r>
          </w:p>
        </w:tc>
        <w:tc>
          <w:tcPr>
            <w:tcW w:w="2211" w:type="dxa"/>
            <w:vAlign w:val="center"/>
          </w:tcPr>
          <w:p w14:paraId="2BF1576B" w14:textId="7744F28B" w:rsidR="22A6E7B2" w:rsidRDefault="22A6E7B2" w:rsidP="22A6E7B2">
            <w:pPr>
              <w:jc w:val="both"/>
              <w:rPr>
                <w:rFonts w:ascii="Verdana" w:eastAsia="Verdana" w:hAnsi="Verdana" w:cs="Verdana"/>
                <w:i/>
                <w:iCs/>
                <w:noProof/>
                <w:sz w:val="20"/>
                <w:szCs w:val="20"/>
                <w:u w:val="single"/>
                <w:lang w:val="en-US"/>
              </w:rPr>
            </w:pPr>
            <w:r w:rsidRPr="22A6E7B2">
              <w:rPr>
                <w:rFonts w:ascii="Verdana" w:eastAsia="Verdana" w:hAnsi="Verdana" w:cs="Verdana"/>
                <w:i/>
                <w:iCs/>
                <w:noProof/>
                <w:sz w:val="20"/>
                <w:szCs w:val="20"/>
                <w:u w:val="single"/>
                <w:lang w:val="en-US"/>
              </w:rPr>
              <w:t>15 giorni</w:t>
            </w:r>
          </w:p>
        </w:tc>
        <w:tc>
          <w:tcPr>
            <w:tcW w:w="3724" w:type="dxa"/>
            <w:vAlign w:val="center"/>
          </w:tcPr>
          <w:p w14:paraId="5DE3197F" w14:textId="2E70D8EB" w:rsidR="22A6E7B2" w:rsidRDefault="22A6E7B2" w:rsidP="22A6E7B2">
            <w:pPr>
              <w:jc w:val="both"/>
              <w:rPr>
                <w:rFonts w:ascii="Verdana" w:eastAsia="Verdana" w:hAnsi="Verdana" w:cs="Verdana"/>
                <w:noProof/>
                <w:sz w:val="20"/>
                <w:szCs w:val="20"/>
                <w:lang w:val="en-US"/>
              </w:rPr>
            </w:pPr>
            <w:r w:rsidRPr="22A6E7B2">
              <w:rPr>
                <w:rFonts w:ascii="Verdana" w:eastAsia="Verdana" w:hAnsi="Verdana" w:cs="Verdana"/>
                <w:noProof/>
                <w:sz w:val="20"/>
                <w:szCs w:val="20"/>
                <w:lang w:val="en-US"/>
              </w:rPr>
              <w:t>data di invio del bando di gara</w:t>
            </w:r>
          </w:p>
        </w:tc>
      </w:tr>
      <w:tr w:rsidR="22A6E7B2" w14:paraId="308B8D71" w14:textId="77777777" w:rsidTr="22A6E7B2">
        <w:tc>
          <w:tcPr>
            <w:tcW w:w="3212" w:type="dxa"/>
            <w:vAlign w:val="center"/>
          </w:tcPr>
          <w:p w14:paraId="7EDFCEF9" w14:textId="7BFDCB5F" w:rsidR="22A6E7B2" w:rsidRDefault="22A6E7B2" w:rsidP="22A6E7B2">
            <w:pPr>
              <w:jc w:val="both"/>
              <w:rPr>
                <w:rFonts w:ascii="Verdana" w:eastAsia="Verdana" w:hAnsi="Verdana" w:cs="Verdana"/>
                <w:b/>
                <w:bCs/>
                <w:noProof/>
                <w:sz w:val="20"/>
                <w:szCs w:val="20"/>
                <w:lang w:val="en-US"/>
              </w:rPr>
            </w:pPr>
            <w:r w:rsidRPr="22A6E7B2">
              <w:rPr>
                <w:rFonts w:ascii="Verdana" w:eastAsia="Verdana" w:hAnsi="Verdana" w:cs="Verdana"/>
                <w:b/>
                <w:bCs/>
                <w:noProof/>
                <w:sz w:val="20"/>
                <w:szCs w:val="20"/>
                <w:lang w:val="en-US"/>
              </w:rPr>
              <w:t>PROCEDURA RISTRETTA</w:t>
            </w:r>
          </w:p>
        </w:tc>
        <w:tc>
          <w:tcPr>
            <w:tcW w:w="2211" w:type="dxa"/>
            <w:vAlign w:val="center"/>
          </w:tcPr>
          <w:p w14:paraId="6D84C99A" w14:textId="2211956F" w:rsidR="22A6E7B2" w:rsidRDefault="22A6E7B2" w:rsidP="22A6E7B2">
            <w:pPr>
              <w:jc w:val="both"/>
              <w:rPr>
                <w:rFonts w:ascii="Verdana" w:eastAsia="Verdana" w:hAnsi="Verdana" w:cs="Verdana"/>
                <w:i/>
                <w:iCs/>
                <w:noProof/>
                <w:sz w:val="20"/>
                <w:szCs w:val="20"/>
                <w:u w:val="single"/>
                <w:lang w:val="en-US"/>
              </w:rPr>
            </w:pPr>
            <w:r w:rsidRPr="22A6E7B2">
              <w:rPr>
                <w:rFonts w:ascii="Verdana" w:eastAsia="Verdana" w:hAnsi="Verdana" w:cs="Verdana"/>
                <w:i/>
                <w:iCs/>
                <w:noProof/>
                <w:sz w:val="20"/>
                <w:szCs w:val="20"/>
                <w:u w:val="single"/>
                <w:lang w:val="en-US"/>
              </w:rPr>
              <w:t>10 giorni</w:t>
            </w:r>
          </w:p>
        </w:tc>
        <w:tc>
          <w:tcPr>
            <w:tcW w:w="3724" w:type="dxa"/>
            <w:vAlign w:val="center"/>
          </w:tcPr>
          <w:p w14:paraId="3D48ED52" w14:textId="029D6690" w:rsidR="22A6E7B2" w:rsidRDefault="22A6E7B2" w:rsidP="22A6E7B2">
            <w:pPr>
              <w:rPr>
                <w:rFonts w:ascii="Verdana" w:eastAsia="Verdana" w:hAnsi="Verdana" w:cs="Verdana"/>
                <w:noProof/>
                <w:sz w:val="20"/>
                <w:szCs w:val="20"/>
                <w:lang w:val="en-US"/>
              </w:rPr>
            </w:pPr>
            <w:r w:rsidRPr="22A6E7B2">
              <w:rPr>
                <w:rFonts w:ascii="Verdana" w:eastAsia="Verdana" w:hAnsi="Verdana" w:cs="Verdana"/>
                <w:noProof/>
                <w:sz w:val="20"/>
                <w:szCs w:val="20"/>
                <w:lang w:val="en-US"/>
              </w:rPr>
              <w:t>dalla data di trasmissione dell’invito a presentare offerte</w:t>
            </w:r>
          </w:p>
        </w:tc>
      </w:tr>
      <w:tr w:rsidR="22A6E7B2" w14:paraId="3BB5AA2E" w14:textId="77777777" w:rsidTr="22A6E7B2">
        <w:tc>
          <w:tcPr>
            <w:tcW w:w="3212" w:type="dxa"/>
            <w:vAlign w:val="center"/>
          </w:tcPr>
          <w:p w14:paraId="18707D81" w14:textId="39CE7F1B" w:rsidR="04D530CB" w:rsidRDefault="04D530CB" w:rsidP="22A6E7B2">
            <w:pPr>
              <w:jc w:val="both"/>
              <w:rPr>
                <w:rFonts w:ascii="Verdana" w:eastAsia="Verdana" w:hAnsi="Verdana" w:cs="Verdana"/>
                <w:b/>
                <w:bCs/>
                <w:noProof/>
                <w:sz w:val="20"/>
                <w:szCs w:val="20"/>
                <w:lang w:val="en-US"/>
              </w:rPr>
            </w:pPr>
            <w:r w:rsidRPr="22A6E7B2">
              <w:rPr>
                <w:rFonts w:ascii="Verdana" w:eastAsia="Verdana" w:hAnsi="Verdana" w:cs="Verdana"/>
                <w:b/>
                <w:bCs/>
                <w:noProof/>
                <w:sz w:val="20"/>
                <w:szCs w:val="20"/>
                <w:lang w:val="en-US"/>
              </w:rPr>
              <w:t>PROCEDURA NEGOZIATA</w:t>
            </w:r>
          </w:p>
        </w:tc>
        <w:tc>
          <w:tcPr>
            <w:tcW w:w="2211" w:type="dxa"/>
            <w:vAlign w:val="center"/>
          </w:tcPr>
          <w:p w14:paraId="042F11C1" w14:textId="7A058584" w:rsidR="04D530CB" w:rsidRDefault="04D530CB" w:rsidP="22A6E7B2">
            <w:pPr>
              <w:spacing w:line="259" w:lineRule="auto"/>
              <w:jc w:val="both"/>
              <w:rPr>
                <w:rFonts w:ascii="Verdana" w:eastAsia="Verdana" w:hAnsi="Verdana" w:cs="Verdana"/>
                <w:i/>
                <w:iCs/>
                <w:noProof/>
                <w:sz w:val="20"/>
                <w:szCs w:val="20"/>
                <w:u w:val="single"/>
                <w:lang w:val="en-US"/>
              </w:rPr>
            </w:pPr>
            <w:r w:rsidRPr="22A6E7B2">
              <w:rPr>
                <w:rFonts w:ascii="Verdana" w:eastAsia="Verdana" w:hAnsi="Verdana" w:cs="Verdana"/>
                <w:i/>
                <w:iCs/>
                <w:noProof/>
                <w:sz w:val="20"/>
                <w:szCs w:val="20"/>
                <w:u w:val="single"/>
                <w:lang w:val="en-US"/>
              </w:rPr>
              <w:t>5 giorni</w:t>
            </w:r>
          </w:p>
          <w:p w14:paraId="693C7CBD" w14:textId="13A8DFD5" w:rsidR="22A6E7B2" w:rsidRDefault="22A6E7B2" w:rsidP="22A6E7B2">
            <w:pPr>
              <w:jc w:val="both"/>
              <w:rPr>
                <w:rFonts w:ascii="Verdana" w:eastAsia="Verdana" w:hAnsi="Verdana" w:cs="Verdana"/>
                <w:i/>
                <w:iCs/>
                <w:noProof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3724" w:type="dxa"/>
            <w:vAlign w:val="center"/>
          </w:tcPr>
          <w:p w14:paraId="7BB1250B" w14:textId="78768C13" w:rsidR="04D530CB" w:rsidRDefault="04D530CB" w:rsidP="22A6E7B2">
            <w:pPr>
              <w:spacing w:line="259" w:lineRule="auto"/>
              <w:rPr>
                <w:rFonts w:ascii="Verdana" w:eastAsia="Verdana" w:hAnsi="Verdana" w:cs="Verdana"/>
                <w:noProof/>
                <w:sz w:val="20"/>
                <w:szCs w:val="20"/>
                <w:lang w:val="en-US"/>
              </w:rPr>
            </w:pPr>
            <w:r w:rsidRPr="22A6E7B2">
              <w:rPr>
                <w:rFonts w:ascii="Verdana" w:eastAsia="Verdana" w:hAnsi="Verdana" w:cs="Verdana"/>
                <w:noProof/>
                <w:sz w:val="20"/>
                <w:szCs w:val="20"/>
                <w:lang w:val="en-US"/>
              </w:rPr>
              <w:t>dalla data di trasmissione dell’invito a presentare offerte</w:t>
            </w:r>
          </w:p>
        </w:tc>
      </w:tr>
    </w:tbl>
    <w:p w14:paraId="29DCC08E" w14:textId="0D9B5720" w:rsidR="22A6E7B2" w:rsidRDefault="22A6E7B2" w:rsidP="22A6E7B2">
      <w:pPr>
        <w:rPr>
          <w:rFonts w:ascii="Verdana" w:eastAsia="Verdana" w:hAnsi="Verdana" w:cs="Verdana"/>
          <w:sz w:val="20"/>
          <w:szCs w:val="20"/>
        </w:rPr>
      </w:pPr>
    </w:p>
    <w:p w14:paraId="63B751E7" w14:textId="478EF47E" w:rsidR="1E615141" w:rsidRDefault="1E615141" w:rsidP="22A6E7B2">
      <w:pPr>
        <w:rPr>
          <w:rFonts w:ascii="Verdana" w:eastAsia="Verdana" w:hAnsi="Verdana" w:cs="Verdana"/>
          <w:sz w:val="20"/>
          <w:szCs w:val="20"/>
        </w:rPr>
      </w:pPr>
      <w:r w:rsidRPr="22A6E7B2">
        <w:rPr>
          <w:rFonts w:ascii="Verdana" w:eastAsia="Verdana" w:hAnsi="Verdana" w:cs="Verdana"/>
          <w:sz w:val="20"/>
          <w:szCs w:val="20"/>
        </w:rPr>
        <w:t>A parte le deroghe sopra elencate, le procedure aperte e ristrette restano imm</w:t>
      </w:r>
      <w:r w:rsidR="6CEA2867" w:rsidRPr="22A6E7B2">
        <w:rPr>
          <w:rFonts w:ascii="Verdana" w:eastAsia="Verdana" w:hAnsi="Verdana" w:cs="Verdana"/>
          <w:sz w:val="20"/>
          <w:szCs w:val="20"/>
        </w:rPr>
        <w:t>utate</w:t>
      </w:r>
      <w:r w:rsidR="6BF72D9B" w:rsidRPr="22A6E7B2">
        <w:rPr>
          <w:rFonts w:ascii="Verdana" w:eastAsia="Verdana" w:hAnsi="Verdana" w:cs="Verdana"/>
          <w:sz w:val="20"/>
          <w:szCs w:val="20"/>
        </w:rPr>
        <w:t>; si rimanda p</w:t>
      </w:r>
      <w:r w:rsidR="472A76C3" w:rsidRPr="22A6E7B2">
        <w:rPr>
          <w:rFonts w:ascii="Verdana" w:eastAsia="Verdana" w:hAnsi="Verdana" w:cs="Verdana"/>
          <w:sz w:val="20"/>
          <w:szCs w:val="20"/>
        </w:rPr>
        <w:t>ertanto</w:t>
      </w:r>
      <w:r w:rsidR="5F3839ED" w:rsidRPr="22A6E7B2">
        <w:rPr>
          <w:rFonts w:ascii="Verdana" w:eastAsia="Verdana" w:hAnsi="Verdana" w:cs="Verdana"/>
          <w:sz w:val="20"/>
          <w:szCs w:val="20"/>
        </w:rPr>
        <w:t xml:space="preserve"> </w:t>
      </w:r>
      <w:r w:rsidR="3F00A58E" w:rsidRPr="22A6E7B2">
        <w:rPr>
          <w:rFonts w:ascii="Verdana" w:eastAsia="Verdana" w:hAnsi="Verdana" w:cs="Verdana"/>
          <w:sz w:val="20"/>
          <w:szCs w:val="20"/>
        </w:rPr>
        <w:t xml:space="preserve">all’utilizzo della </w:t>
      </w:r>
      <w:r w:rsidR="7D1F0AE4" w:rsidRPr="22A6E7B2">
        <w:rPr>
          <w:rFonts w:ascii="Verdana" w:eastAsia="Verdana" w:hAnsi="Verdana" w:cs="Verdana"/>
          <w:sz w:val="20"/>
          <w:szCs w:val="20"/>
        </w:rPr>
        <w:t>Checklist n. 3.2</w:t>
      </w:r>
      <w:r w:rsidR="091B7BF5" w:rsidRPr="22A6E7B2">
        <w:rPr>
          <w:rFonts w:ascii="Verdana" w:eastAsia="Verdana" w:hAnsi="Verdana" w:cs="Verdana"/>
          <w:sz w:val="20"/>
          <w:szCs w:val="20"/>
        </w:rPr>
        <w:t xml:space="preserve"> - procedure ordinarie</w:t>
      </w:r>
      <w:r w:rsidR="25ACA957" w:rsidRPr="22A6E7B2">
        <w:rPr>
          <w:rFonts w:ascii="Verdana" w:eastAsia="Verdana" w:hAnsi="Verdana" w:cs="Verdana"/>
          <w:sz w:val="20"/>
          <w:szCs w:val="20"/>
        </w:rPr>
        <w:t>.</w:t>
      </w:r>
    </w:p>
    <w:sectPr w:rsidR="1E61514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9DF97A"/>
    <w:rsid w:val="003F2356"/>
    <w:rsid w:val="005409F0"/>
    <w:rsid w:val="006A5B0C"/>
    <w:rsid w:val="019DF97A"/>
    <w:rsid w:val="01CC39BC"/>
    <w:rsid w:val="04BCB880"/>
    <w:rsid w:val="04D530CB"/>
    <w:rsid w:val="061166E3"/>
    <w:rsid w:val="07A0B732"/>
    <w:rsid w:val="08BF4200"/>
    <w:rsid w:val="091B7BF5"/>
    <w:rsid w:val="0A890409"/>
    <w:rsid w:val="0B1FBF0D"/>
    <w:rsid w:val="0BE63036"/>
    <w:rsid w:val="0D92B323"/>
    <w:rsid w:val="1161267C"/>
    <w:rsid w:val="11B3224D"/>
    <w:rsid w:val="19D88E2C"/>
    <w:rsid w:val="1CE7A122"/>
    <w:rsid w:val="1E615141"/>
    <w:rsid w:val="201F41E4"/>
    <w:rsid w:val="21D2CAAF"/>
    <w:rsid w:val="22A6E7B2"/>
    <w:rsid w:val="2447CE91"/>
    <w:rsid w:val="25ACA957"/>
    <w:rsid w:val="2A09EC29"/>
    <w:rsid w:val="2BF8C722"/>
    <w:rsid w:val="2E492778"/>
    <w:rsid w:val="2F1FAB40"/>
    <w:rsid w:val="30CC3845"/>
    <w:rsid w:val="335BCB99"/>
    <w:rsid w:val="340BC68D"/>
    <w:rsid w:val="34F79BFA"/>
    <w:rsid w:val="3560117D"/>
    <w:rsid w:val="35A796EE"/>
    <w:rsid w:val="36CCE9EF"/>
    <w:rsid w:val="37D96F9D"/>
    <w:rsid w:val="38D41D79"/>
    <w:rsid w:val="3A6BF068"/>
    <w:rsid w:val="3CFE2D02"/>
    <w:rsid w:val="3E942A33"/>
    <w:rsid w:val="3EE03DA4"/>
    <w:rsid w:val="3F00A58E"/>
    <w:rsid w:val="3F3AB3DD"/>
    <w:rsid w:val="3FD0A784"/>
    <w:rsid w:val="414A8E45"/>
    <w:rsid w:val="45933F9C"/>
    <w:rsid w:val="4689049B"/>
    <w:rsid w:val="469067C8"/>
    <w:rsid w:val="472A76C3"/>
    <w:rsid w:val="4993514E"/>
    <w:rsid w:val="4B7B9155"/>
    <w:rsid w:val="4C01CEBF"/>
    <w:rsid w:val="4CEE09CE"/>
    <w:rsid w:val="4D4AFA2A"/>
    <w:rsid w:val="4DFA8F7C"/>
    <w:rsid w:val="505144FD"/>
    <w:rsid w:val="50BD3BCC"/>
    <w:rsid w:val="51795CD4"/>
    <w:rsid w:val="51E22B32"/>
    <w:rsid w:val="53B7F8C3"/>
    <w:rsid w:val="549C2B57"/>
    <w:rsid w:val="54DC7B8E"/>
    <w:rsid w:val="55FCB8B7"/>
    <w:rsid w:val="5617A681"/>
    <w:rsid w:val="56A7E9A9"/>
    <w:rsid w:val="57ABEBC7"/>
    <w:rsid w:val="57F46334"/>
    <w:rsid w:val="5CF7FD58"/>
    <w:rsid w:val="5EE70D5E"/>
    <w:rsid w:val="5F3839ED"/>
    <w:rsid w:val="5F5737C1"/>
    <w:rsid w:val="5FAD4DF0"/>
    <w:rsid w:val="613FC0D8"/>
    <w:rsid w:val="63DDF97E"/>
    <w:rsid w:val="6427A363"/>
    <w:rsid w:val="64BC998C"/>
    <w:rsid w:val="68D2DA68"/>
    <w:rsid w:val="693B07D9"/>
    <w:rsid w:val="697F591E"/>
    <w:rsid w:val="6A897E5A"/>
    <w:rsid w:val="6B3EE6E7"/>
    <w:rsid w:val="6BF72D9B"/>
    <w:rsid w:val="6BF9E762"/>
    <w:rsid w:val="6CEA2867"/>
    <w:rsid w:val="6DFCFEC9"/>
    <w:rsid w:val="6FAA495D"/>
    <w:rsid w:val="71A80603"/>
    <w:rsid w:val="7729F4F5"/>
    <w:rsid w:val="774B3449"/>
    <w:rsid w:val="78535116"/>
    <w:rsid w:val="7D0C5937"/>
    <w:rsid w:val="7D1F0AE4"/>
    <w:rsid w:val="7F394C68"/>
    <w:rsid w:val="7F9535F1"/>
    <w:rsid w:val="7FE5C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DF97A"/>
  <w15:chartTrackingRefBased/>
  <w15:docId w15:val="{E237585D-69FA-47F4-B929-71202E64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CA2E9C-50CF-4806-9F4E-856860291A22}"/>
</file>

<file path=customXml/itemProps2.xml><?xml version="1.0" encoding="utf-8"?>
<ds:datastoreItem xmlns:ds="http://schemas.openxmlformats.org/officeDocument/2006/customXml" ds:itemID="{290B215E-1130-4898-BBCB-7236D4BD5BB7}"/>
</file>

<file path=customXml/itemProps3.xml><?xml version="1.0" encoding="utf-8"?>
<ds:datastoreItem xmlns:ds="http://schemas.openxmlformats.org/officeDocument/2006/customXml" ds:itemID="{2B5017C5-D6C5-4B4F-9E69-35EF603BB6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Fabbri Stefania</dc:creator>
  <cp:keywords/>
  <dc:description/>
  <cp:lastModifiedBy>Capraro Fausto</cp:lastModifiedBy>
  <cp:revision>2</cp:revision>
  <dcterms:created xsi:type="dcterms:W3CDTF">2024-09-19T09:11:00Z</dcterms:created>
  <dcterms:modified xsi:type="dcterms:W3CDTF">2024-09-19T09:11:00Z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