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PR FESR 2021/2027 Priorità 1 AZIONE 1.1.1 E 1.1.2</w:t>
      </w:r>
    </w:p>
    <w:p w:rsidR="00000000" w:rsidDel="00000000" w:rsidP="00000000" w:rsidRDefault="00000000" w:rsidRPr="00000000" w14:paraId="00000007">
      <w:pP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8">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0" w:right="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CONGIUNTO INTERREGIONALE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70" w:right="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"VINNOVATE OPEN CALL 2024" - PR FESR 2021-2027</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 D.G.R. n.886/2024</w:t>
      </w:r>
    </w:p>
    <w:p w:rsidR="00000000" w:rsidDel="00000000" w:rsidP="00000000" w:rsidRDefault="00000000" w:rsidRPr="00000000" w14:paraId="0000000D">
      <w:pPr>
        <w:ind w:left="70" w:firstLine="0"/>
        <w:jc w:val="center"/>
        <w:rPr>
          <w:rFonts w:ascii="Arial" w:cs="Arial" w:eastAsia="Arial" w:hAnsi="Arial"/>
          <w:b w:val="1"/>
          <w:color w:val="333399"/>
          <w:sz w:val="26"/>
          <w:szCs w:val="26"/>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E">
            <w:pPr>
              <w:widowControl w:val="0"/>
              <w:spacing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1">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2">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3">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4">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5">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6">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7">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8">
      <w:pPr>
        <w:widowControl w:val="0"/>
        <w:spacing w:after="40" w:before="40" w:lineRule="auto"/>
        <w:jc w:val="center"/>
        <w:rPr>
          <w:rFonts w:ascii="Arial" w:cs="Arial" w:eastAsia="Arial" w:hAnsi="Arial"/>
        </w:rPr>
      </w:pPr>
      <w:r w:rsidDel="00000000" w:rsidR="00000000" w:rsidRPr="00000000">
        <w:rPr>
          <w:rtl w:val="0"/>
        </w:rPr>
      </w:r>
    </w:p>
    <w:sdt>
      <w:sdtPr>
        <w:lock w:val="contentLocked"/>
        <w:id w:val="817789630"/>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sdt>
      <w:sdtPr>
        <w:lock w:val="contentLocked"/>
        <w:id w:val="-447089616"/>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4">
      <w:pPr>
        <w:widowControl w:val="0"/>
        <w:rPr>
          <w:rFonts w:ascii="Arial" w:cs="Arial" w:eastAsia="Arial" w:hAnsi="Arial"/>
        </w:rPr>
      </w:pPr>
      <w:r w:rsidDel="00000000" w:rsidR="00000000" w:rsidRPr="00000000">
        <w:rPr>
          <w:rtl w:val="0"/>
        </w:rPr>
      </w:r>
    </w:p>
    <w:sdt>
      <w:sdtPr>
        <w:lock w:val="contentLocked"/>
        <w:id w:val="1789688731"/>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E">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11.4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condizioni di esclusione indicate nella DISAN quali certificazioni di processo/ di prodotto/etichette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F">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30">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31">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32">
      <w:pPr>
        <w:tabs>
          <w:tab w:val="left" w:leader="none" w:pos="284"/>
        </w:tabs>
        <w:spacing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4">
      <w:pPr>
        <w:spacing w:after="200" w:before="240" w:line="276" w:lineRule="auto"/>
        <w:jc w:val="both"/>
        <w:rPr>
          <w:rFonts w:ascii="Arial" w:cs="Arial" w:eastAsia="Arial" w:hAnsi="Arial"/>
          <w:b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tl w:val="0"/>
        </w:rPr>
      </w:r>
    </w:p>
    <w:p w:rsidR="00000000" w:rsidDel="00000000" w:rsidP="00000000" w:rsidRDefault="00000000" w:rsidRPr="00000000" w14:paraId="00000035">
      <w:pPr>
        <w:numPr>
          <w:ilvl w:val="0"/>
          <w:numId w:val="3"/>
        </w:numPr>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di personale;</w:t>
      </w:r>
    </w:p>
    <w:p w:rsidR="00000000" w:rsidDel="00000000" w:rsidP="00000000" w:rsidRDefault="00000000" w:rsidRPr="00000000" w14:paraId="00000036">
      <w:pPr>
        <w:numPr>
          <w:ilvl w:val="0"/>
          <w:numId w:val="3"/>
        </w:numPr>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di software specialistico;</w:t>
      </w:r>
    </w:p>
    <w:p w:rsidR="00000000" w:rsidDel="00000000" w:rsidP="00000000" w:rsidRDefault="00000000" w:rsidRPr="00000000" w14:paraId="00000037">
      <w:pPr>
        <w:numPr>
          <w:ilvl w:val="0"/>
          <w:numId w:val="3"/>
        </w:numPr>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consulenze;</w:t>
      </w:r>
    </w:p>
    <w:p w:rsidR="00000000" w:rsidDel="00000000" w:rsidP="00000000" w:rsidRDefault="00000000" w:rsidRPr="00000000" w14:paraId="00000038">
      <w:pPr>
        <w:numPr>
          <w:ilvl w:val="0"/>
          <w:numId w:val="3"/>
        </w:numPr>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l’acquisizione licenze e protezione dell’IPR derivante dal progetto;</w:t>
      </w:r>
    </w:p>
    <w:p w:rsidR="00000000" w:rsidDel="00000000" w:rsidP="00000000" w:rsidRDefault="00000000" w:rsidRPr="00000000" w14:paraId="00000039">
      <w:pPr>
        <w:numPr>
          <w:ilvl w:val="0"/>
          <w:numId w:val="3"/>
        </w:numPr>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l’attività di diffusione dei risultati che non rientrano nelle spese di consulenza, di carattere immateriale;</w:t>
      </w:r>
    </w:p>
    <w:p w:rsidR="00000000" w:rsidDel="00000000" w:rsidP="00000000" w:rsidRDefault="00000000" w:rsidRPr="00000000" w14:paraId="0000003A">
      <w:pPr>
        <w:numPr>
          <w:ilvl w:val="0"/>
          <w:numId w:val="3"/>
        </w:numPr>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generali (ad esclusione delle attrezzature informatiche), eventuali spese di costituzione ATS e spese per fidejussioni.</w:t>
      </w:r>
      <w:r w:rsidDel="00000000" w:rsidR="00000000" w:rsidRPr="00000000">
        <w:rPr>
          <w:rtl w:val="0"/>
        </w:rPr>
      </w:r>
    </w:p>
    <w:p w:rsidR="00000000" w:rsidDel="00000000" w:rsidP="00000000" w:rsidRDefault="00000000" w:rsidRPr="00000000" w14:paraId="0000003B">
      <w:pPr>
        <w:spacing w:line="276" w:lineRule="auto"/>
        <w:jc w:val="both"/>
        <w:rPr>
          <w:sz w:val="22"/>
          <w:szCs w:val="22"/>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e ob.4).</w:t>
      </w:r>
    </w:p>
    <w:p w:rsidR="00000000" w:rsidDel="00000000" w:rsidP="00000000" w:rsidRDefault="00000000" w:rsidRPr="00000000" w14:paraId="0000003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F">
      <w:pPr>
        <w:widowControl w:val="0"/>
        <w:ind w:right="-6"/>
        <w:jc w:val="both"/>
        <w:rPr>
          <w:rFonts w:ascii="Arial" w:cs="Arial" w:eastAsia="Arial" w:hAnsi="Arial"/>
          <w:i w:val="1"/>
        </w:rPr>
      </w:pPr>
      <w:r w:rsidDel="00000000" w:rsidR="00000000" w:rsidRPr="00000000">
        <w:rPr>
          <w:rtl w:val="0"/>
        </w:rPr>
      </w:r>
    </w:p>
    <w:sdt>
      <w:sdtPr>
        <w:lock w:val="contentLocked"/>
        <w:id w:val="-962089594"/>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40">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4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4">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1 - Mitigazione dei cambiamenti climatici</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9">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A">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B">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C">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acquistata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è alimentato con batterie ricaricabili di durata ____ o con energia rinnovabile prodotta mediante proprio impianto FER o acquistata da società che fornisce energia “verde” etc.</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0"/>
      <w:bookmarkEnd w:id="0"/>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8">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9">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A">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finanziata ha un contenuto di ___ % di materiali riciclati, è previsto un recupero/riutilizzo dei materiali di circa il ___%.</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realizzazione fisica del prototipo ha comportato la produzione di ___ rifiuti, ___ % dei quali avviata a recupero presso impianto autorizzato.</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Il prototipo a seguito della sua dismissione verrà così gestito ____)</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La gestione dei rifiuti è così pianificata: iscrizione ad un registro di gestione delle AEE da parte del produttore/fornitore/beneficiario, trasporto a cura di soggetti autorizzati e conferimento presso ditte autorizzate.</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3">
      <w:pPr>
        <w:widowControl w:val="0"/>
        <w:spacing w:after="60" w:before="240" w:lineRule="auto"/>
        <w:ind w:right="-6"/>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64">
      <w:pPr>
        <w:spacing w:before="120" w:lineRule="auto"/>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65">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Calibri" w:cs="Calibri" w:eastAsia="Calibri" w:hAnsi="Calibri"/>
          <w:b w:val="1"/>
          <w:sz w:val="40"/>
          <w:szCs w:val="40"/>
          <w:highlight w:val="yellow"/>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r w:rsidDel="00000000" w:rsidR="00000000" w:rsidRPr="00000000">
        <w:rPr>
          <w:rtl w:val="0"/>
        </w:rPr>
      </w:r>
    </w:p>
    <w:p w:rsidR="00000000" w:rsidDel="00000000" w:rsidP="00000000" w:rsidRDefault="00000000" w:rsidRPr="00000000" w14:paraId="00000067">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8">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9">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0"/>
        <w:szCs w:val="1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6EbhEqIzg2CBDloeS80qiUUGRQ==">CgMxLjAaHwoBMBIaChgICVIUChJ0YWJsZS5hc2ZudXJ2ZDNsMDAaHwoBMRIaChgICVIUChJ0YWJsZS5kcmhmbzA2ZjhxN2YaHwoBMhIaChgICVIUChJ0YWJsZS5lbDF3bXdub2YxN3QaHwoBMxIaChgICVIUChJ0YWJsZS40a2NkOGlrcW9seWwyDmguM2ZjbnEwamE1YjlmMgloLjMwajB6bGw4AHIhMVpOc0JvMmphdFdhXzI5LUVMSXlTNk44QURsMGtuNDBq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