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La presente dichiarazione deve essere compilata in formato digitale, utilizzando il modulo fornito dalla Regione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333399"/>
          <w:sz w:val="24"/>
          <w:szCs w:val="24"/>
          <w:u w:val="none"/>
          <w:vertAlign w:val="baseline"/>
          <w:rtl w:val="0"/>
        </w:rPr>
        <w:t xml:space="preserve">PR FESR 2021/2027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AZIONI 2.4.2 - “INTERVENTI PER CONTRASTARE IL DISSESTO IDROGEOLOGICO SECONDO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UN APPROCCIO ECOSISTEMICO E PRIVILEGIANDO APPROCCI E</w:t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TECNOLOGIE NATURE BASED SOLUTION (NBS)”- LINEA 1</w:t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alla rendicontazione delle spese relative al saldo del progetto prot. PG/2023/____________ dal titolo “__________________________________________________________________________” avente CUP _________________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 finanziato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sula base del Quadro di riferimento, di cui alla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D.G.R. 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.657/2023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84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 relazione al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 sezione DNSH della D.G.R. n.657/2023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con riferimento agli obiettivi ambientali individuati: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uso sostenibile o alla protezione delle risorse idriche e marine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economia circolare compresa la prevenzione e il riciclo dei rifiuti,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protezione e ripristino della biodiversità e degli ecosistemi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articoli 46 e 47 del D.P.R. 28/12/2000 n. 445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76" w:lineRule="auto"/>
        <w:ind w:left="283.46456692913375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 relazione all’Obiettivo 4 – “Economia circolare e produzione dei rifiuti”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la variazione attesa della produzione annua di rifiuti per effetto del progetto realizzato, specificandone tipologia, quantitativi e destinazione finale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 tabella in formato excel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che costituisce parte integrante della presente dichiarazione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(compilare i campi solo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u w:val="single"/>
          <w:rtl w:val="0"/>
        </w:rPr>
        <w:t xml:space="preserve">se pertinenti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 al progetto);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76" w:lineRule="auto"/>
        <w:ind w:left="283.46456692913375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6 – “Protezione e ripristino della biodiversità e degli ecosistemi”, la </w:t>
      </w:r>
      <w:r w:rsidDel="00000000" w:rsidR="00000000" w:rsidRPr="00000000">
        <w:rPr>
          <w:rFonts w:ascii="Arial" w:cs="Arial" w:eastAsia="Arial" w:hAnsi="Arial"/>
          <w:color w:val="232323"/>
          <w:sz w:val="22"/>
          <w:szCs w:val="22"/>
          <w:rtl w:val="0"/>
        </w:rPr>
        <w:t xml:space="preserve">superficie di territorio recuperata con NBS per effetto dell’operazione finanziata</w:t>
      </w:r>
      <w:r w:rsidDel="00000000" w:rsidR="00000000" w:rsidRPr="00000000">
        <w:rPr>
          <w:rFonts w:ascii="Arial" w:cs="Arial" w:eastAsia="Arial" w:hAnsi="Arial"/>
          <w:color w:val="232323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 tabella in formato excel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che costituisce parte integrante della presente dichiarazione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(compilare i campi solo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u w:val="single"/>
          <w:rtl w:val="0"/>
        </w:rPr>
        <w:t xml:space="preserve">se pertinenti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 al progetto);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jc w:val="both"/>
        <w:rPr>
          <w:rFonts w:ascii="Arial Narrow" w:cs="Arial Narrow" w:eastAsia="Arial Narrow" w:hAnsi="Arial Narrow"/>
          <w:i w:val="1"/>
          <w:color w:val="7692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Inoltre, al fine d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comprovare quanto dichiarato in sede di presentazione della domanda in relazione al principio DNSH e sulla base del progetto effettivamente realizzato e rendicontato,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CHE: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1.0 il progetto di investimento prevede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esclusivamente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spese tecniche di progettazione, direzione lavori, coordinamento della sicurezza e collaudi, opere di ingegno, incentivi per funzioni tecniche; spese Generali,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per le quali, ai sensi del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la sezione DNSH della D.G.R. n.657/2023, l’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impresa beneficiaria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non è tenuta a produrre alcuna ulteriore documentazione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ind w:left="0" w:right="-12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ind w:left="0" w:right="-12" w:firstLine="0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OPPURE: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85" w:right="0" w:hanging="285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.0: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il progetto di investimento comprende anche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spese per l’esecuzione di interventi su frane, fiumi e costa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 le quali il beneficiario dispone di almeno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una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delle seguenti documentazioni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selezionare almeno un’opzione e allegare la relativa documentazione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300" w:lineRule="auto"/>
        <w:ind w:left="1417.3228346456694" w:hanging="360"/>
        <w:jc w:val="both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adozione di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buone pratiche che favoriscano la ricarica delle falde con  riduzione  dei fenomeni di lisciviazione superficiale e ruscellamento;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300" w:lineRule="auto"/>
        <w:ind w:left="1417.3228346456694" w:hanging="360"/>
        <w:jc w:val="both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esplicita previsione nell’ambito di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piani di settore (PGRA, PAI)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300" w:lineRule="auto"/>
        <w:ind w:left="1417.3228346456694" w:hanging="360"/>
        <w:jc w:val="both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applicazione di specifiche procedure di gestione ambientale previste nell’ambito di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Sistemi di Gestione Ambientale certificati delle Imprese esecutrice (ISO 14001, Emas).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566.9291338582675" w:firstLine="0"/>
        <w:jc w:val="both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congiuntamente ad una delle seguenti condizioni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selezionare almeno un’opzione e allegare la relativa documentazione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300" w:lineRule="auto"/>
        <w:ind w:left="1417.3228346456694" w:hanging="36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conformità ai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CAM Edilizia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da comprovare mediante relazione tecnica CAM;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300" w:lineRule="auto"/>
        <w:ind w:left="1417.3228346456694" w:hanging="36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adozione di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pianificazione per la gestione dei rifiuti e dei materiali, per la dismissione e il ripristino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 seguito dell’intervento;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76" w:lineRule="auto"/>
        <w:ind w:left="1417.3228346456694" w:hanging="360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iscrizione al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Consorzio REC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da parte del beneficiario/affidatario dei lavori/impresa esecutrice o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dichiarazione di avvio a recupero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di almeno il 70% in peso dei rifiuti da costruzione e demolizione prodotti durante l’intervento (ed è presente specifica clausola nel contratto di affidamento dei lavori).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ind w:left="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2.1: in caso di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interventi localizzati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all’interno o nei dintorni di aree sensibili alla biodiversità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unitamente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alle condizioni del punto 2.0 il Beneficiario dichiara che l’intervento è conforme ai seguenti requisiti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allegare la relativa documentazione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0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non genera emissioni rumorose superiori al 3% del rumore di fondo caratteristico dell'area;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0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non interferisce con i principali corsi del sottobacino idrografico interessato dal fenomeno di dissesto ai fini della conservazione di eventuali popolazioni locali di pesci, anfibi e invertebrati,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0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non interferisce con popolazioni di specie inserite nella fauna minore regionale,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0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è stata oggetto di Valutazione di incidenza dall’ente gestore del sito, se prevista.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566" w:right="-12" w:hanging="566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 aver ritenuto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erroneamente applicabili, in fase di presentazione della domanda e per tutte le tipologie di spese ammissibili, le clausole di esclusione ex ante previste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nella sezione DNSH della D.G.R. n.657/2023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ai fini del rispetto del Principio, ma di non poter dimostrare tale assolvimento in fase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rendicontazione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 Pertanto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allega alla presente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una “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relazione DNSH”  che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descrive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le prestazioni dell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’intervento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 relazione agli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obiettivi DNSH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interfer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In particolare tale relazione: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720" w:right="-12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adattamento ai cambiamenti climatici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illustra il rischio climatico, ex appendice A del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Regolamento delegato UE 2021/2139 della Commissione del 4 giugno 2021 che integra il regolamento UE/2020/852, dopo la realizzazione del progetto, anche nello scenario a lungo termine, considerando le eventuali misure di mitigazione/compensazione che il progetto ha attuato.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6" w:lineRule="auto"/>
        <w:ind w:left="720" w:right="-12" w:hanging="360"/>
        <w:jc w:val="both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tutela delle risorse idriche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attesta la conformità degli interventi realizzati al quadro normativo e agli strumenti di pianificazione vigente  nonché dei sistemi di monitoraggio e controllo messi in atto per la tutela della componente ambientale in esame.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6" w:lineRule="auto"/>
        <w:ind w:left="720" w:right="-12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relazione all’obiettivo di economia circolare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fornisce evidenza di come sono stati gestiti i rifiuti 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i materiali movimentati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720" w:right="-12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alla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 protezione e ripristino della biodiversità e degli ecosistemi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illustra le strategie messe in atto durante la realizzazione dell'intervento e per tutto il suo ciclo di vita per la tutela di questa componente considerando le forme biotiche ed abiotiche evidenziando l’utilizzo di prodotti certificati.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Altre eventuali note/informazioni che si intende portare all’attenzione dell’Ente: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-12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-12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42" w:right="-12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42" w:right="-12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LEGALE RAPPRESENTANTE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spacing w:after="0" w:before="0" w:line="240" w:lineRule="auto"/>
        <w:ind w:left="70" w:right="-12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spacing w:after="0" w:before="0" w:line="240" w:lineRule="auto"/>
        <w:ind w:left="0" w:right="-1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</w:t>
        <w:tab/>
        <w:tab/>
        <w:tab/>
        <w:tab/>
        <w:t xml:space="preserve">_________________________________________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65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dichiarazione può essere sottoscritta con firma digitale o con firma autografa allegando copia fotostatica del documento di identità del sottoscrittore in corso di validità.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85510" cy="422910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  <w:shd w:fill="auto" w:val="clear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1417.3228346456694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8963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896310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DefaultParagraphFont"/>
    <w:qFormat w:val="1"/>
    <w:rsid w:val="00951970"/>
    <w:rPr/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1"/>
    <w:next w:val="Normal1"/>
    <w:uiPriority w:val="1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nnotationtext">
    <w:name w:val="annotation text"/>
    <w:basedOn w:val="Normal"/>
    <w:link w:val="TestocommentoCarattere"/>
    <w:uiPriority w:val="99"/>
    <w:semiHidden w:val="1"/>
    <w:unhideWhenUsed w:val="1"/>
    <w:qFormat w:val="1"/>
    <w:pPr/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FE3CBE"/>
    <w:pPr>
      <w:spacing w:after="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Notaapidipagina">
    <w:name w:val="Footnote Text"/>
    <w:basedOn w:val="Normal"/>
    <w:link w:val="TestonotaapidipaginaCarattere"/>
    <w:uiPriority w:val="99"/>
    <w:semiHidden w:val="1"/>
    <w:unhideWhenUsed w:val="1"/>
    <w:rsid w:val="00142C5A"/>
    <w:pPr/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numbering" Target="numbering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6fb6+sQUvpHp7DvpRYyr7M97g==">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24E878E-0C28-4ED2-B440-9CB44C07CB5B}"/>
</file>

<file path=customXML/itemProps3.xml><?xml version="1.0" encoding="utf-8"?>
<ds:datastoreItem xmlns:ds="http://schemas.openxmlformats.org/officeDocument/2006/customXml" ds:itemID="{244F86C4-DF84-443F-BBD8-EFFE7D082E9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2024-02-22T16:08:00Z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