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1.2.2</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IL SOSTEGNO A PROGETTI PRESENTATI DA</w:t>
      </w:r>
    </w:p>
    <w:p w:rsidR="00000000" w:rsidDel="00000000" w:rsidP="00000000" w:rsidRDefault="00000000" w:rsidRPr="00000000" w14:paraId="00000007">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SOGGETTI PUBBLICI E PRIVATI PER LA DIGITALIZZAZIONE DEL</w:t>
      </w:r>
    </w:p>
    <w:p w:rsidR="00000000" w:rsidDel="00000000" w:rsidP="00000000" w:rsidRDefault="00000000" w:rsidRPr="00000000" w14:paraId="00000008">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PATRIMONIO CULTURALE DI BIBLIOTECHE, ARCHIVI STORICI,</w:t>
      </w:r>
    </w:p>
    <w:p w:rsidR="00000000" w:rsidDel="00000000" w:rsidP="00000000" w:rsidRDefault="00000000" w:rsidRPr="00000000" w14:paraId="00000009">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8"/>
          <w:szCs w:val="28"/>
          <w:rtl w:val="0"/>
        </w:rPr>
        <w:t xml:space="preserve">MUSEI E ALTRI ISTITUTI E LUOGHI DELLA CULTURA</w:t>
      </w: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C">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D.G.R. n. 983/2023 e s.m.i.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12">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3">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4">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5">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6">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7">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8">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9">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5">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F">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10.4 “Obblighi connessi alla verifica del rispetto del principio DNSH” del bando, in forza del quale il richiedente può presentare una “Relazione DNSH” in cui illustra, per in relazione al criterio DNSH mitigazione dei cambiamenti climatici, quali impatti ritiene che le spese ammissibili abbiano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30">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31">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3">
      <w:pPr>
        <w:spacing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34">
      <w:pPr>
        <w:numPr>
          <w:ilvl w:val="0"/>
          <w:numId w:val="3"/>
        </w:numPr>
        <w:spacing w:after="0" w:afterAutospacing="0" w:before="120"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w:t>
      </w:r>
      <w:r w:rsidDel="00000000" w:rsidR="00000000" w:rsidRPr="00000000">
        <w:rPr>
          <w:rFonts w:ascii="Arial Narrow" w:cs="Arial Narrow" w:eastAsia="Arial Narrow" w:hAnsi="Arial Narrow"/>
          <w:b w:val="1"/>
          <w:sz w:val="24"/>
          <w:szCs w:val="24"/>
          <w:rtl w:val="0"/>
        </w:rPr>
        <w:t xml:space="preserve"> SERVIZI DI DIGITALIZZAZIONE/METADATAZIONE </w:t>
      </w:r>
      <w:r w:rsidDel="00000000" w:rsidR="00000000" w:rsidRPr="00000000">
        <w:rPr>
          <w:rFonts w:ascii="Arial Narrow" w:cs="Arial Narrow" w:eastAsia="Arial Narrow" w:hAnsi="Arial Narrow"/>
          <w:sz w:val="24"/>
          <w:szCs w:val="24"/>
          <w:rtl w:val="0"/>
        </w:rPr>
        <w:t xml:space="preserve">del patrimonio culturale inclusi i canoni ;</w:t>
      </w:r>
    </w:p>
    <w:p w:rsidR="00000000" w:rsidDel="00000000" w:rsidP="00000000" w:rsidRDefault="00000000" w:rsidRPr="00000000" w14:paraId="00000035">
      <w:pPr>
        <w:numPr>
          <w:ilvl w:val="0"/>
          <w:numId w:val="3"/>
        </w:numPr>
        <w:spacing w:after="0" w:afterAutospacing="0" w:before="0" w:beforeAutospacing="0"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realizzazione di </w:t>
      </w:r>
      <w:r w:rsidDel="00000000" w:rsidR="00000000" w:rsidRPr="00000000">
        <w:rPr>
          <w:rFonts w:ascii="Arial Narrow" w:cs="Arial Narrow" w:eastAsia="Arial Narrow" w:hAnsi="Arial Narrow"/>
          <w:b w:val="1"/>
          <w:sz w:val="24"/>
          <w:szCs w:val="24"/>
          <w:rtl w:val="0"/>
        </w:rPr>
        <w:t xml:space="preserve">PORTALI WEB E SISTEMI DI FRONT-END;</w:t>
      </w:r>
    </w:p>
    <w:p w:rsidR="00000000" w:rsidDel="00000000" w:rsidP="00000000" w:rsidRDefault="00000000" w:rsidRPr="00000000" w14:paraId="00000036">
      <w:pPr>
        <w:numPr>
          <w:ilvl w:val="0"/>
          <w:numId w:val="3"/>
        </w:numPr>
        <w:spacing w:after="0" w:afterAutospacing="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PROGETTAZIONE, SVILUPPO, PERSONALIZZAZIONE, COLLAUDO E CERTIFICAZIONE </w:t>
      </w:r>
      <w:r w:rsidDel="00000000" w:rsidR="00000000" w:rsidRPr="00000000">
        <w:rPr>
          <w:rFonts w:ascii="Arial Narrow" w:cs="Arial Narrow" w:eastAsia="Arial Narrow" w:hAnsi="Arial Narrow"/>
          <w:sz w:val="24"/>
          <w:szCs w:val="24"/>
          <w:rtl w:val="0"/>
        </w:rPr>
        <w:t xml:space="preserve">di soluzioni innovative;</w:t>
      </w:r>
    </w:p>
    <w:p w:rsidR="00000000" w:rsidDel="00000000" w:rsidP="00000000" w:rsidRDefault="00000000" w:rsidRPr="00000000" w14:paraId="00000037">
      <w:pPr>
        <w:numPr>
          <w:ilvl w:val="0"/>
          <w:numId w:val="3"/>
        </w:numPr>
        <w:spacing w:after="0" w:afterAutospacing="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di acquisto di</w:t>
      </w:r>
      <w:r w:rsidDel="00000000" w:rsidR="00000000" w:rsidRPr="00000000">
        <w:rPr>
          <w:rFonts w:ascii="Arial Narrow" w:cs="Arial Narrow" w:eastAsia="Arial Narrow" w:hAnsi="Arial Narrow"/>
          <w:b w:val="1"/>
          <w:sz w:val="24"/>
          <w:szCs w:val="24"/>
          <w:rtl w:val="0"/>
        </w:rPr>
        <w:t xml:space="preserve">  SOFTWARE e LICENZE</w:t>
      </w:r>
      <w:r w:rsidDel="00000000" w:rsidR="00000000" w:rsidRPr="00000000">
        <w:rPr>
          <w:rFonts w:ascii="Arial Narrow" w:cs="Arial Narrow" w:eastAsia="Arial Narrow" w:hAnsi="Arial Narrow"/>
          <w:sz w:val="24"/>
          <w:szCs w:val="24"/>
          <w:rtl w:val="0"/>
        </w:rPr>
        <w:t xml:space="preserve"> di utilizzo di titoli di brevetti;</w:t>
      </w:r>
    </w:p>
    <w:p w:rsidR="00000000" w:rsidDel="00000000" w:rsidP="00000000" w:rsidRDefault="00000000" w:rsidRPr="00000000" w14:paraId="00000038">
      <w:pPr>
        <w:numPr>
          <w:ilvl w:val="0"/>
          <w:numId w:val="3"/>
        </w:numPr>
        <w:spacing w:after="0" w:afterAutospacing="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il  </w:t>
      </w:r>
      <w:r w:rsidDel="00000000" w:rsidR="00000000" w:rsidRPr="00000000">
        <w:rPr>
          <w:rFonts w:ascii="Arial Narrow" w:cs="Arial Narrow" w:eastAsia="Arial Narrow" w:hAnsi="Arial Narrow"/>
          <w:b w:val="1"/>
          <w:sz w:val="24"/>
          <w:szCs w:val="24"/>
          <w:rtl w:val="0"/>
        </w:rPr>
        <w:t xml:space="preserve">PERSONALE</w:t>
      </w:r>
      <w:r w:rsidDel="00000000" w:rsidR="00000000" w:rsidRPr="00000000">
        <w:rPr>
          <w:rFonts w:ascii="Arial Narrow" w:cs="Arial Narrow" w:eastAsia="Arial Narrow" w:hAnsi="Arial Narrow"/>
          <w:sz w:val="24"/>
          <w:szCs w:val="24"/>
          <w:rtl w:val="0"/>
        </w:rPr>
        <w:t xml:space="preserve"> e per il suo aggiornamento in merito all’utilizzo delle soluzioni o dei sistemi realizzati con il progetto;</w:t>
      </w:r>
    </w:p>
    <w:p w:rsidR="00000000" w:rsidDel="00000000" w:rsidP="00000000" w:rsidRDefault="00000000" w:rsidRPr="00000000" w14:paraId="00000039">
      <w:pPr>
        <w:numPr>
          <w:ilvl w:val="0"/>
          <w:numId w:val="3"/>
        </w:numPr>
        <w:spacing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w:t>
      </w:r>
      <w:r w:rsidDel="00000000" w:rsidR="00000000" w:rsidRPr="00000000">
        <w:rPr>
          <w:rFonts w:ascii="Arial Narrow" w:cs="Arial Narrow" w:eastAsia="Arial Narrow" w:hAnsi="Arial Narrow"/>
          <w:b w:val="1"/>
          <w:sz w:val="24"/>
          <w:szCs w:val="24"/>
          <w:rtl w:val="0"/>
        </w:rPr>
        <w:t xml:space="preserve">GENERALI</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3A">
      <w:pPr>
        <w:spacing w:line="276" w:lineRule="auto"/>
        <w:jc w:val="both"/>
        <w:rPr>
          <w:sz w:val="22"/>
          <w:szCs w:val="22"/>
        </w:rPr>
      </w:pPr>
      <w:r w:rsidDel="00000000" w:rsidR="00000000" w:rsidRPr="00000000">
        <w:rPr>
          <w:rtl w:val="0"/>
        </w:rPr>
      </w:r>
    </w:p>
    <w:p w:rsidR="00000000" w:rsidDel="00000000" w:rsidP="00000000" w:rsidRDefault="00000000" w:rsidRPr="00000000" w14:paraId="0000003B">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w:t>
      </w:r>
    </w:p>
    <w:p w:rsidR="00000000" w:rsidDel="00000000" w:rsidP="00000000" w:rsidRDefault="00000000" w:rsidRPr="00000000" w14:paraId="0000003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E">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F">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4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3">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A">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w:t>
      </w:r>
      <w:r w:rsidDel="00000000" w:rsidR="00000000" w:rsidRPr="00000000">
        <w:rPr>
          <w:rFonts w:ascii="Arial" w:cs="Arial" w:eastAsia="Arial" w:hAnsi="Arial"/>
          <w:i w:val="1"/>
          <w:sz w:val="18"/>
          <w:szCs w:val="18"/>
          <w:u w:val="single"/>
          <w:rtl w:val="0"/>
        </w:rPr>
        <w:t xml:space="preserve">dei singoli beni acquistati</w:t>
      </w:r>
      <w:r w:rsidDel="00000000" w:rsidR="00000000" w:rsidRPr="00000000">
        <w:rPr>
          <w:rFonts w:ascii="Arial" w:cs="Arial" w:eastAsia="Arial" w:hAnsi="Arial"/>
          <w:i w:val="1"/>
          <w:sz w:val="18"/>
          <w:szCs w:val="18"/>
          <w:rtl w:val="0"/>
        </w:rPr>
        <w:t xml:space="preserve">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 piattaforma IT realizzata nell’ambito del progetto ha le seguenti caratteristiche in termini di consumo energetico/ emissioni, considerando le ore di funzionamento previsto di____________</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 dotata di un sistema che permette di monitorarne il funzionamento e quindi renderlo più efficiente; è alimentato con batterie ricaricabili di durata____ o con energia rinnovabile prodotta mediante proprio impianto FER o acquistata da società che fornisce energia “verde” etc.</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before="120" w:lineRule="auto"/>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5A">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5C">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5D">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1">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2">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WABJEEmmqjIzqGkMVgfvG5H0A==">CgMxLjAaHwoBMBIaChgICVIUChJ0YWJsZS5hc2ZudXJ2ZDNsMDAaHwoBMRIaChgICVIUChJ0YWJsZS5kcmhmbzA2ZjhxN2YaHwoBMhIaChgICVIUChJ0YWJsZS5lbDF3bXdub2YxN3QaHwoBMxIaChgICVIUChJ0YWJsZS40a2NkOGlrcW9seWwyCGguZ2pkZ3hzMgloLjMwajB6bGw4AHIhMUdhc3ppcUN5c0prNm1HbmZ1YU1tak1RS2IwN0JYYmFr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