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39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08">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PR FESR 2021/2027 </w:t>
      </w:r>
    </w:p>
    <w:p w:rsidR="00000000" w:rsidDel="00000000" w:rsidP="00000000" w:rsidRDefault="00000000" w:rsidRPr="00000000" w14:paraId="00000009">
      <w:pPr>
        <w:ind w:left="7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333399"/>
          <w:sz w:val="24"/>
          <w:szCs w:val="24"/>
          <w:rtl w:val="0"/>
        </w:rPr>
        <w:t xml:space="preserve">AZIONI 2.1.1-2.2.1-2.4.1</w:t>
      </w: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BANDO PER IL SUPPORTO AD INTERVENTI DI RIQUALIFICAZIONE ENERGETICA</w:t>
      </w:r>
    </w:p>
    <w:p w:rsidR="00000000" w:rsidDel="00000000" w:rsidP="00000000" w:rsidRDefault="00000000" w:rsidRPr="00000000" w14:paraId="0000000B">
      <w:pPr>
        <w:ind w:left="7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 E MIGLIORAMENTO/ADEGUAMENTO SISMICO DEGLI EDIFICI PUBBLICI</w:t>
      </w:r>
    </w:p>
    <w:p w:rsidR="00000000" w:rsidDel="00000000" w:rsidP="00000000" w:rsidRDefault="00000000" w:rsidRPr="00000000" w14:paraId="0000000C">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D.G.R. 2091/2022 e s.m.i.</w:t>
      </w:r>
      <w:r w:rsidDel="00000000" w:rsidR="00000000" w:rsidRPr="00000000">
        <w:rPr>
          <w:rtl w:val="0"/>
        </w:rPr>
      </w:r>
    </w:p>
    <w:p w:rsidR="00000000" w:rsidDel="00000000" w:rsidP="00000000" w:rsidRDefault="00000000" w:rsidRPr="00000000" w14:paraId="0000000E">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3">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4">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di esclusione ex-ante previste nella DISAN (ad esempio: consumo di suolo, conformità ai CAM, possesso di Sistema di Gestione).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p>
    <w:p w:rsidR="00000000" w:rsidDel="00000000" w:rsidP="00000000" w:rsidRDefault="00000000" w:rsidRPr="00000000" w14:paraId="0000002C">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D">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E">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F">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NOTE PER LA COMPILAZIONE DEL MODELLO</w:t>
      </w:r>
    </w:p>
    <w:p w:rsidR="00000000" w:rsidDel="00000000" w:rsidP="00000000" w:rsidRDefault="00000000" w:rsidRPr="00000000" w14:paraId="00000031">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2">
      <w:pPr>
        <w:numPr>
          <w:ilvl w:val="0"/>
          <w:numId w:val="2"/>
        </w:numPr>
        <w:spacing w:before="20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 direzione lavori, rilievi e indagini;</w:t>
      </w:r>
    </w:p>
    <w:p w:rsidR="00000000" w:rsidDel="00000000" w:rsidP="00000000" w:rsidRDefault="00000000" w:rsidRPr="00000000" w14:paraId="00000033">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4">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 e certificazione degli impianti;</w:t>
      </w:r>
    </w:p>
    <w:p w:rsidR="00000000" w:rsidDel="00000000" w:rsidP="00000000" w:rsidRDefault="00000000" w:rsidRPr="00000000" w14:paraId="00000035">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redazione di diagnosi energetiche, redazione attestati di prestazione energetica, verifica tecnica/valutazione della sicurezza sismica;</w:t>
      </w:r>
    </w:p>
    <w:p w:rsidR="00000000" w:rsidDel="00000000" w:rsidP="00000000" w:rsidRDefault="00000000" w:rsidRPr="00000000" w14:paraId="00000036">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imposta sul valore aggiunto (IVA);</w:t>
      </w:r>
    </w:p>
    <w:p w:rsidR="00000000" w:rsidDel="00000000" w:rsidP="00000000" w:rsidRDefault="00000000" w:rsidRPr="00000000" w14:paraId="00000037">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 </w:t>
      </w:r>
    </w:p>
    <w:p w:rsidR="00000000" w:rsidDel="00000000" w:rsidP="00000000" w:rsidRDefault="00000000" w:rsidRPr="00000000" w14:paraId="00000038">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spese NON escluse ex ante il beneficiario è tenuto a descrivere di seguito la potenziale interferenza rispetto all’obiettivo DNSH potenzialmente più interferente con le operazioni finanziabili (ob.1, 2,4).</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C">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D">
                <w:pPr>
                  <w:spacing w:after="160" w:line="259" w:lineRule="auto"/>
                  <w:jc w:val="both"/>
                  <w:rPr>
                    <w:rFonts w:ascii="Arial" w:cs="Arial" w:eastAsia="Arial" w:hAnsi="Arial"/>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r w:rsidDel="00000000" w:rsidR="00000000" w:rsidRPr="00000000">
                  <w:rPr>
                    <w:rtl w:val="0"/>
                  </w:rPr>
                </w:r>
              </w:p>
            </w:tc>
          </w:tr>
        </w:tbl>
      </w:sdtContent>
    </w:sdt>
    <w:p w:rsidR="00000000" w:rsidDel="00000000" w:rsidP="00000000" w:rsidRDefault="00000000" w:rsidRPr="00000000" w14:paraId="0000003E">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1">
      <w:pPr>
        <w:numPr>
          <w:ilvl w:val="0"/>
          <w:numId w:val="4"/>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2">
      <w:pPr>
        <w:numPr>
          <w:ilvl w:val="0"/>
          <w:numId w:val="4"/>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3">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4">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ai consumi energetici e alle conseguenti emissioni di gas climalteranti, gli impatti del progetto a partire dalle singole spese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L’edificio riqualificato ha ridotto il suo consumo energetico di ____, così suddiviso per usi termici, ovvero riscaldamento e acqua calda sanitaria, ed usi elettrici. Nell’ambito dell’intervento è stato previsto, inoltre, la realizzazione di un impianto fotovoltaico da __kW, che post intervento consente la copertura di ___ % del consumo totale dell’edificio.</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widowControl w:val="0"/>
        <w:spacing w:after="60" w:before="240" w:lineRule="auto"/>
        <w:ind w:right="-6"/>
        <w:rPr>
          <w:rFonts w:ascii="Arial" w:cs="Arial" w:eastAsia="Arial" w:hAnsi="Arial"/>
          <w:b w:val="1"/>
          <w:color w:val="365f91"/>
          <w:sz w:val="28"/>
          <w:szCs w:val="28"/>
        </w:rPr>
      </w:pPr>
      <w:bookmarkStart w:colFirst="0" w:colLast="0" w:name="_heading=h.orjk7vxedbf4" w:id="0"/>
      <w:bookmarkEnd w:id="0"/>
      <w:r w:rsidDel="00000000" w:rsidR="00000000" w:rsidRPr="00000000">
        <w:rPr>
          <w:rtl w:val="0"/>
        </w:rPr>
      </w:r>
    </w:p>
    <w:p w:rsidR="00000000" w:rsidDel="00000000" w:rsidP="00000000" w:rsidRDefault="00000000" w:rsidRPr="00000000" w14:paraId="0000005C">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5D">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E">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F">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0">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b w:val="1"/>
          <w:i w:val="1"/>
          <w:color w:val="ff0000"/>
          <w:sz w:val="18"/>
          <w:szCs w:val="18"/>
          <w:rtl w:val="0"/>
        </w:rPr>
        <w:t xml:space="preserve">N.B. OBIETTIVO DA APPLICARE AI PROGETTI CHE IMPLICANO UN’IMPERMEABILIZZAZIONE DI NUOVE SUPERFICI o che non rispettano le condizioni di sostenibilità ambientale indicate al punto 2.0 della Dichiarazione sostitutiva di atto notorio</w:t>
      </w: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consumo di suolo, certificazione di sistema di gestione dell’appaltatore/impresa esecutrice/beneficiario, conformità ai CAM, certificazione dell'intervento secondo protocolli di gestione ambientale). Descrivere altresì se vi è stata impermeabilizzazione di suolo e che ricadute ambientali ciò ha comportato.</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 e riducendo le emissioni da fonti fossili contribuisce a migliorare lo scenario climatico futuro. </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 riportate anche nel modulo n.4 "Autodichiarazione Climate Proofing- adattamento ai cambiamenti climatici, fase analisi dettagliata” sono state così attuate _______ </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Sono state, inoltre, previste le seguenti azioni per la gestione del rischio _______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0">
      <w:pPr>
        <w:widowControl w:val="0"/>
        <w:spacing w:after="60" w:before="240" w:lineRule="auto"/>
        <w:ind w:right="-6"/>
        <w:rPr>
          <w:rFonts w:ascii="Arial" w:cs="Arial" w:eastAsia="Arial" w:hAnsi="Arial"/>
          <w:b w:val="1"/>
          <w:color w:val="365f91"/>
          <w:sz w:val="28"/>
          <w:szCs w:val="28"/>
        </w:rPr>
      </w:pPr>
      <w:bookmarkStart w:colFirst="0" w:colLast="0" w:name="_heading=h.i350r4p3tx8z" w:id="2"/>
      <w:bookmarkEnd w:id="2"/>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5">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6">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in  esame ha determinato la produzione di  _____ rifiuti così classificati _____</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da costruzione e demolizione sono stati così gestiti: deposito per categorie omogenee in area di cantiere, trasporto a cura di soggetti autorizzati e conferimento presso ditte autorizzate al recupero degli stessi.</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Eventuali materiali vegetali e il materiale da scavo sono stati gestiti favorendo il recupero in situ secondo la normativa vigente.</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7">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8B">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8D">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8E">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0">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91">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okAPwDikuLa+nNJcUcs64b7bg==">CgMxLjAaHwoBMBIaChgICVIUChJ0YWJsZS40a2NkOGlrcW9seWwyDmgub3Jqazd2eGVkYmY0Mg5oLjNmY25xMGphNWI5ZjIOaC5pMzUwcjRwM3R4OHo4AHIhMTFlMy11Wko0WXFzNDZVUkFXSWc4Y1NvSE5tZVdJZF9o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