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425"/>
        <w:gridCol w:w="2564"/>
        <w:gridCol w:w="2307"/>
        <w:gridCol w:w="2290"/>
        <w:gridCol w:w="2287"/>
        <w:gridCol w:w="2264"/>
      </w:tblGrid>
      <w:tr w:rsidR="006E4D13" w14:paraId="3BE36A15" w14:textId="77777777" w:rsidTr="0067072F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262D" w14:textId="77777777" w:rsidR="006E4D13" w:rsidRDefault="006E4D13" w:rsidP="0067072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 procedurale – Procedure per l’affidamento dei servizi attinenti all’architettura e all’ingegneria e connessi</w:t>
            </w:r>
          </w:p>
        </w:tc>
      </w:tr>
      <w:tr w:rsidR="006E4D13" w14:paraId="4E840515" w14:textId="77777777" w:rsidTr="0067072F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6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98A63" w14:textId="77777777" w:rsidR="006E4D13" w:rsidRDefault="006E4D13" w:rsidP="0067072F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CHECKLIST N. 4 </w:t>
            </w:r>
          </w:p>
          <w:p w14:paraId="51EEBAE0" w14:textId="77777777" w:rsidR="006E4D13" w:rsidRDefault="006E4D13" w:rsidP="0067072F">
            <w:pPr>
              <w:pStyle w:val="Standard"/>
              <w:spacing w:before="60" w:after="60" w:line="320" w:lineRule="atLeast"/>
              <w:jc w:val="center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AFFIDAMENTO DEI SERVIZI ATTINENTI ALL’ARCHITETTURA E ALL’INGEGNERIA DI IMPORTO PARI O SUPERIORI </w:t>
            </w: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A  EURO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 xml:space="preserve"> 40.000 E INFERIORE A EURO 100.000 E ALTRI INCARICHI CONNESSI</w:t>
            </w:r>
          </w:p>
        </w:tc>
      </w:tr>
      <w:tr w:rsidR="006E4D13" w14:paraId="27526694" w14:textId="77777777" w:rsidTr="0067072F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3CB13" w14:textId="77777777" w:rsidR="006E4D13" w:rsidRDefault="006E4D13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6E4D13" w14:paraId="3FD53619" w14:textId="77777777" w:rsidTr="0067072F">
        <w:trPr>
          <w:jc w:val="center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60AF8" w14:textId="77777777" w:rsidR="006E4D13" w:rsidRDefault="006E4D13" w:rsidP="0067072F">
            <w:pPr>
              <w:pStyle w:val="Standard"/>
              <w:spacing w:before="60" w:after="60" w:line="320" w:lineRule="atLeast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213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7F57" w14:textId="77777777" w:rsidR="006E4D13" w:rsidRDefault="006E4D13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6E4D13" w14:paraId="77F28ECE" w14:textId="77777777" w:rsidTr="0067072F">
        <w:trPr>
          <w:jc w:val="center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942E8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39D8B8B7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16D4" w14:textId="77777777" w:rsidR="006E4D13" w:rsidRDefault="006E4D13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8E65" w14:textId="77777777" w:rsidR="006E4D13" w:rsidRDefault="006E4D13" w:rsidP="0067072F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8830" w14:textId="77777777" w:rsidR="006E4D13" w:rsidRDefault="006E4D13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8EED" w14:textId="77777777" w:rsidR="006E4D13" w:rsidRDefault="006E4D13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scadenza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ECBE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3EBD1C46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b/>
                <w:lang w:val="it-IT"/>
              </w:rPr>
            </w:pPr>
          </w:p>
        </w:tc>
      </w:tr>
      <w:tr w:rsidR="006E4D13" w14:paraId="5E454339" w14:textId="77777777" w:rsidTr="0067072F">
        <w:trPr>
          <w:jc w:val="center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D6BD3" w14:textId="77777777" w:rsidR="006E4D13" w:rsidRDefault="006E4D13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4237" w14:textId="77777777" w:rsidR="006E4D13" w:rsidRDefault="006E4D13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F32D" w14:textId="77777777" w:rsidR="006E4D13" w:rsidRDefault="006E4D13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CBDC" w14:textId="77777777" w:rsidR="006E4D13" w:rsidRDefault="006E4D13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677A" w14:textId="77777777" w:rsidR="006E4D13" w:rsidRDefault="006E4D13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81C6" w14:textId="77777777" w:rsidR="006E4D13" w:rsidRDefault="006E4D13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230C7B0" w14:textId="77777777" w:rsidR="006E4D13" w:rsidRDefault="006E4D13" w:rsidP="006E4D13">
      <w:pPr>
        <w:pStyle w:val="Standard"/>
        <w:tabs>
          <w:tab w:val="left" w:pos="3195"/>
        </w:tabs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2270"/>
        <w:gridCol w:w="3118"/>
        <w:gridCol w:w="2555"/>
        <w:gridCol w:w="3503"/>
      </w:tblGrid>
      <w:tr w:rsidR="006E4D13" w14:paraId="2EDB09C6" w14:textId="77777777" w:rsidTr="0067072F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96695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12C16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5062F" w14:textId="77777777" w:rsidR="006E4D13" w:rsidRDefault="006E4D13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6E4D13" w14:paraId="3ED14209" w14:textId="77777777" w:rsidTr="0067072F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2BC76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4B1F0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(€)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316E" w14:textId="77777777" w:rsidR="006E4D13" w:rsidRDefault="006E4D13" w:rsidP="0067072F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442DF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(€)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62CCB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6E4D13" w14:paraId="54432106" w14:textId="77777777" w:rsidTr="0067072F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F2862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D44FE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C94D3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6203E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FD033" w14:textId="77777777" w:rsidR="006E4D13" w:rsidRDefault="006E4D13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</w:tbl>
    <w:p w14:paraId="2E56BD9F" w14:textId="77777777" w:rsidR="006E4D13" w:rsidRDefault="006E4D13" w:rsidP="006E4D13">
      <w:pPr>
        <w:pStyle w:val="Standard"/>
        <w:tabs>
          <w:tab w:val="left" w:pos="3195"/>
        </w:tabs>
        <w:rPr>
          <w:rFonts w:ascii="Arial" w:hAnsi="Arial" w:cs="Aria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7750"/>
        <w:gridCol w:w="1456"/>
        <w:gridCol w:w="4354"/>
      </w:tblGrid>
      <w:tr w:rsidR="006E4D13" w14:paraId="5369F5ED" w14:textId="77777777" w:rsidTr="0067072F">
        <w:trPr>
          <w:trHeight w:val="255"/>
          <w:jc w:val="center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3974" w14:textId="77777777" w:rsidR="006E4D13" w:rsidRDefault="006E4D13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VERIFICA DELLE PROCEDURE</w:t>
            </w:r>
          </w:p>
        </w:tc>
      </w:tr>
      <w:tr w:rsidR="006E4D13" w14:paraId="56BAEAD2" w14:textId="77777777" w:rsidTr="0067072F">
        <w:trPr>
          <w:trHeight w:val="446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C5652" w14:textId="77777777" w:rsidR="006E4D13" w:rsidRDefault="006E4D13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 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85DBC" w14:textId="77777777" w:rsidR="006E4D13" w:rsidRDefault="006E4D13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Verifica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0B5E2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341E8EF8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FA147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Commenti</w:t>
            </w:r>
          </w:p>
        </w:tc>
      </w:tr>
      <w:tr w:rsidR="006E4D13" w14:paraId="0FB333EC" w14:textId="77777777" w:rsidTr="0067072F">
        <w:trPr>
          <w:trHeight w:val="446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65CF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1A924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rispettate le disposizioni della normativa nazionale vigente?</w:t>
            </w:r>
          </w:p>
          <w:p w14:paraId="0F4295FC" w14:textId="77777777" w:rsidR="006E4D13" w:rsidRDefault="006E4D13" w:rsidP="0067072F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157 del </w:t>
            </w:r>
            <w:proofErr w:type="spellStart"/>
            <w:proofErr w:type="gramStart"/>
            <w:r>
              <w:rPr>
                <w:rFonts w:ascii="Arial" w:hAnsi="Arial" w:cs="Arial"/>
              </w:rPr>
              <w:t>D.Lgs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50/2016</w:t>
            </w:r>
          </w:p>
          <w:p w14:paraId="0880981A" w14:textId="77777777" w:rsidR="006E4D13" w:rsidRDefault="006E4D13" w:rsidP="0067072F">
            <w:pPr>
              <w:pStyle w:val="Standard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7CFB9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8C179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E4D13" w14:paraId="7E302EFC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BAD0A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A3D56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L’importo del corrispettivo commisurato al livello qualitativo delle prestazioni e delle attività di progettazione e alle attività di cui all'art. 31, comma 8, è stato determinato in base al D.M. 17 giugno 2016?</w:t>
            </w:r>
          </w:p>
          <w:p w14:paraId="285FEAE1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27D07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32D5C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6A5E6DB0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7878A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774B2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Nella documentazione di gara è riportato il procedimento adottato per il calcolo dei compensi posti a base di gara?</w:t>
            </w:r>
          </w:p>
          <w:p w14:paraId="3EF4E060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0ABB3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7D049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415C411D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2EBBA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4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A22E6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RUP è individuato nell'atto di adozione o aggiornamento dei programmi di cui all'art. 21, comma 1, (Programma degli acquisti e programmazione dei lavori pubblici) o nell'atto di avvio relativo ad ogni singolo intervento per le esigenze non incluse in programmazione?</w:t>
            </w:r>
          </w:p>
          <w:p w14:paraId="3D59B3B6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D.Lgs.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35502502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89A09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A4315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6E4D13" w14:paraId="1A5CCDB0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AD021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F2640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il RUP ha effettuato la verifica sulla presenza di professionalità interne ai sensi dell’art. 23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797B6227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16A82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FA5E9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719FD2F1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B9DF2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731EA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5642D884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5D791931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85375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65D22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6E4D13" w14:paraId="0B58B33C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C4F7B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1D2C3" w14:textId="77777777" w:rsidR="006E4D13" w:rsidRDefault="006E4D13" w:rsidP="0067072F">
            <w:pPr>
              <w:pStyle w:val="Standard"/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Quale modalità è stata utilizzata per le indagini esplorative preliminari volte a individuare gli operatori da invitare a presentare preventivo?  </w:t>
            </w:r>
          </w:p>
          <w:p w14:paraId="036F5BB5" w14:textId="77777777" w:rsidR="006E4D13" w:rsidRDefault="006E4D13" w:rsidP="006E4D13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Sulla base di indagini di mercato</w:t>
            </w:r>
          </w:p>
          <w:p w14:paraId="621DF290" w14:textId="77777777" w:rsidR="006E4D13" w:rsidRDefault="006E4D13" w:rsidP="006E4D13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Tramite elenchi di operatori economici</w:t>
            </w:r>
          </w:p>
          <w:p w14:paraId="31EF66EA" w14:textId="77777777" w:rsidR="006E4D13" w:rsidRDefault="006E4D13" w:rsidP="006E4D13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Mediante consultazioni di cataloghi elettronici del mercato elettronico</w:t>
            </w:r>
          </w:p>
          <w:p w14:paraId="484BE85D" w14:textId="77777777" w:rsidR="006E4D13" w:rsidRDefault="006E4D13" w:rsidP="0067072F">
            <w:pPr>
              <w:pStyle w:val="Standard"/>
              <w:ind w:left="720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E0AF5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244E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6B26F60A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B1AD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D327C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evidenzia che la stazione appaltante ha inviato copia dell’avviso relativo l’avvio dell’indagine di mercato o di costituzione dell’elenco degli operatori economici agli ordini professionali, nazionali e territoriali?</w:t>
            </w:r>
          </w:p>
          <w:p w14:paraId="64568374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DF31F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4E160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55412AEB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9D97D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973FE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determina o la decretazione a contrarre identifica le opere cui appartengono gli interventi oggetto dell’incarico?</w:t>
            </w:r>
          </w:p>
          <w:p w14:paraId="25439A1D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BFEE9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F0937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544AA5D1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84C18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BFC92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determina o la decretazione a contrarre definisce i requisiti di carattere speciale che i concorrenti devono possedere per poter partecipare alla gara?</w:t>
            </w:r>
          </w:p>
          <w:p w14:paraId="558574A9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9488A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0CB78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1C2EDAEC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819FE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A01A8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determina o la decretazione a contrarre definisce i criteri di migliore professionalità o di migliore adeguatezza dell’offerta?</w:t>
            </w:r>
          </w:p>
          <w:p w14:paraId="483E88CF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353EE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7860F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438C1AB9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151AC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70753" w14:textId="77777777" w:rsidR="006E4D13" w:rsidRDefault="006E4D13" w:rsidP="0067072F">
            <w:pPr>
              <w:pStyle w:val="Standard"/>
              <w:spacing w:line="240" w:lineRule="atLeast"/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rispettato il</w:t>
            </w:r>
            <w:r>
              <w:rPr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criterio di rotazione degli inviti ai sensi dell’art. 157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08E1052D" w14:textId="77777777" w:rsidR="006E4D13" w:rsidRDefault="006E4D13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032F0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F05BE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3AE595EE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9F6BB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B67BB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provveduto ad individuare almeno cinque operatori economici?</w:t>
            </w:r>
          </w:p>
          <w:p w14:paraId="7CB75E40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7BDFB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FFC0F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4A662C8D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59412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14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E2A64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è stato utilizzato il criterio dell’offerta economicamente più vantaggiosa secondo il miglior rapporto qualità/prezzo?</w:t>
            </w:r>
          </w:p>
          <w:p w14:paraId="75AD0C7A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48F79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0BED8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6344695A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7ED05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CC3D1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dalla documentazione di gara si evince:</w:t>
            </w:r>
          </w:p>
          <w:p w14:paraId="2C50EB17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93BE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BB751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7D6CA825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A941C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0DE06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  <w:p w14:paraId="04325C95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66FC9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B3993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0AB93075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B9B49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b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1257F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aggiudicazione.</w:t>
            </w:r>
          </w:p>
          <w:p w14:paraId="70085B24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D6466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15B52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7A7A6CD7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4BFE8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32B74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sono valorizzati gli elementi qualitativi dell’offerta e i criteri tali da garantire un confronto concorrenziale effettivo sui profili tecnici, stabilendo un tetto massimo per il punteggio economico entro il limite del 30% di cui all’art. 95 co.10-bis</w:t>
            </w:r>
          </w:p>
          <w:p w14:paraId="2266EADE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614D0570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67BC4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7057D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69B847B3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E6B8B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07BA7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siano esclusi punteggi per l’offerta di opere aggiuntive rispetto a quanto previsto nel progetto esecutivo a base d’asta di cui all’art. 95 co.14-bis</w:t>
            </w:r>
          </w:p>
          <w:p w14:paraId="43748C6F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693C6533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33E6D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EC0D4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07A14BFC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39131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5E59B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L’indicazione nell’offerta economica da parte del concorrente dei propri costi della manodopera e gli oneri aziendali concernenti l’adempimento delle disposizioni in materia di salute e sicurezza sui luoghi di lavoro</w:t>
            </w:r>
          </w:p>
          <w:p w14:paraId="68465F38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FE778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FD7A9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58A824DE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CB100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15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F3E85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stata formalizzata la nomina della Commissione di Aggiudicazione secondo le modalità di cui all'art. 77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7B1E2EE8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A7C22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90455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6E4D13" w14:paraId="0D491792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B3961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52B2E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687F5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AB2C6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4167B567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9F403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15.a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2E4DE" w14:textId="77777777" w:rsidR="006E4D13" w:rsidRDefault="006E4D13" w:rsidP="0067072F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La Commissione giudicatrice include componenti interni ad esclusione del Presidente, solo nei casi che</w:t>
            </w:r>
            <w:r>
              <w:rPr>
                <w:rFonts w:ascii="Arial" w:hAnsi="Arial" w:cs="Arial"/>
                <w:iCs/>
                <w:lang w:val="it-IT"/>
              </w:rPr>
              <w:t xml:space="preserve"> non presentano particolare complessità, nel rispetto del principio di rotazione?</w:t>
            </w:r>
          </w:p>
          <w:p w14:paraId="3802E0F4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617CD558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16F9B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35097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6ABA0E50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716B2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15.b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E822F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giudicatrice era validamente costituita?  </w:t>
            </w:r>
          </w:p>
          <w:p w14:paraId="7074FE8B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6008C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FE3FC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526DA967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4161C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16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12476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Dai documenti di gara si evince che la stazione appaltante ha verificato le dichiarazioni circa il possesso dei requisiti di carattere speciale richiesti nella lettera di invito o nel bando di gara?</w:t>
            </w:r>
          </w:p>
          <w:p w14:paraId="3230991C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A3A3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5D3C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527D6420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8AFC1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17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B690F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stazione appaltante ha verificato i criteri di migliore professionalità o di migliore adeguatezza all’offerta?</w:t>
            </w:r>
          </w:p>
          <w:p w14:paraId="240A5E82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87705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AD3D5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11DE21F5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6FFFC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18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730A8" w14:textId="77777777" w:rsidR="006E4D13" w:rsidRDefault="006E4D13" w:rsidP="0067072F">
            <w:pPr>
              <w:pStyle w:val="Standard"/>
              <w:spacing w:line="240" w:lineRule="atLeast"/>
            </w:pPr>
            <w:r>
              <w:rPr>
                <w:rFonts w:ascii="Arial" w:hAnsi="Arial" w:cs="Arial"/>
                <w:lang w:val="it-IT"/>
              </w:rPr>
              <w:t>I documenti di gara, esplicitano le motivazioni per tutte le decisioni prese dalla Commissione aggiudicatrice?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242CB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95492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3BC61461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98155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35EBC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  <w:p w14:paraId="37064FBA" w14:textId="77777777" w:rsidR="006E4D13" w:rsidRDefault="006E4D13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D6F1C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C4529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3AA5DB2F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8A8F4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658B5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  <w:p w14:paraId="51C5D6D8" w14:textId="77777777" w:rsidR="006E4D13" w:rsidRDefault="006E4D13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FF410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2CA41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0D3E460C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5D10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CF120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  <w:p w14:paraId="7C7B28F2" w14:textId="77777777" w:rsidR="006E4D13" w:rsidRDefault="006E4D13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EC154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7F45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20A49D12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1F4E1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20.2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C3042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  <w:p w14:paraId="7004299E" w14:textId="77777777" w:rsidR="006E4D13" w:rsidRDefault="006E4D13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D83D6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7A940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77282AB0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8471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7D924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  <w:p w14:paraId="7BC1F7BE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A20AB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428A5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67FA74E1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A9F97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2.a</w:t>
            </w:r>
            <w:proofErr w:type="gramEnd"/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95538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i lavori o i servizi supplementari, sono state rispettate le condizioni di cui all’art.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lett.b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55D73EBA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E494D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EDFC0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7E2086FC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2DB6B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2.b</w:t>
            </w:r>
            <w:proofErr w:type="gramEnd"/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85F22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67B644DC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C9DE3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1FD56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08DAA792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75AF9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20.2.c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9CBD1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nuovo contraente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lett.d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552CBDBB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7A09A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FC79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57408F90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B3806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2.d</w:t>
            </w:r>
            <w:proofErr w:type="gramEnd"/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10990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Le modifiche non sono sostanziali, ai sensi dell’art.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lett.e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1E588273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144E7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D2491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4AEB33BE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06CB0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692EC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  <w:p w14:paraId="589F52A8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2D8A9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EBF3D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31CADB69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CDCC9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EEB61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  <w:p w14:paraId="5D38B257" w14:textId="77777777" w:rsidR="006E4D13" w:rsidRDefault="006E4D13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EA618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6D58A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5B401154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02189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21.a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36F2A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C9BC4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06B45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6E4D13" w14:paraId="681358D6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5A67F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21.b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2DF4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  <w:p w14:paraId="65BCBEFB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79F1E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00601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6E4D13" w14:paraId="6D5FE335" w14:textId="77777777" w:rsidTr="0067072F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3E8FA" w14:textId="77777777" w:rsidR="006E4D13" w:rsidRDefault="006E4D13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21.c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D937D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  <w:p w14:paraId="342005FE" w14:textId="77777777" w:rsidR="006E4D13" w:rsidRDefault="006E4D13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2A41C" w14:textId="77777777" w:rsidR="006E4D13" w:rsidRDefault="006E4D13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EA0E9" w14:textId="77777777" w:rsidR="006E4D13" w:rsidRDefault="006E4D13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</w:tbl>
    <w:p w14:paraId="129C5CEC" w14:textId="77777777" w:rsidR="00E110CD" w:rsidRDefault="00E110CD"/>
    <w:sectPr w:rsidR="00E110CD" w:rsidSect="006E4D13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B688" w14:textId="77777777" w:rsidR="00D3292B" w:rsidRDefault="00D3292B" w:rsidP="000C7AA5">
      <w:pPr>
        <w:spacing w:before="0" w:after="0" w:line="240" w:lineRule="auto"/>
      </w:pPr>
      <w:r>
        <w:separator/>
      </w:r>
    </w:p>
  </w:endnote>
  <w:endnote w:type="continuationSeparator" w:id="0">
    <w:p w14:paraId="3FFE3E78" w14:textId="77777777" w:rsidR="00D3292B" w:rsidRDefault="00D3292B" w:rsidP="000C7A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0C7AA5" w14:paraId="09678D5E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3E2DF92B" w14:textId="77777777" w:rsidR="000C7AA5" w:rsidRPr="00A01B50" w:rsidRDefault="000C7AA5" w:rsidP="000C7AA5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04BCB9B8" w14:textId="77777777" w:rsidR="000C7AA5" w:rsidRPr="0051552A" w:rsidRDefault="000C7AA5" w:rsidP="000C7AA5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aggiornato al </w:t>
          </w: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56/2017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572D8C2D" w14:textId="77777777" w:rsidR="000C7AA5" w:rsidRDefault="000C7AA5" w:rsidP="000C7AA5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64A6FBA7" w14:textId="77777777" w:rsidR="000C7AA5" w:rsidRDefault="000C7A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1E72" w14:textId="77777777" w:rsidR="00D3292B" w:rsidRDefault="00D3292B" w:rsidP="000C7AA5">
      <w:pPr>
        <w:spacing w:before="0" w:after="0" w:line="240" w:lineRule="auto"/>
      </w:pPr>
      <w:r>
        <w:separator/>
      </w:r>
    </w:p>
  </w:footnote>
  <w:footnote w:type="continuationSeparator" w:id="0">
    <w:p w14:paraId="07B76A99" w14:textId="77777777" w:rsidR="00D3292B" w:rsidRDefault="00D3292B" w:rsidP="000C7AA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9483E"/>
    <w:multiLevelType w:val="multilevel"/>
    <w:tmpl w:val="707A8F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4987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13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C7AA5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0D00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4D13"/>
    <w:rsid w:val="006E508B"/>
    <w:rsid w:val="006F1656"/>
    <w:rsid w:val="0070163D"/>
    <w:rsid w:val="007045B1"/>
    <w:rsid w:val="00704FBC"/>
    <w:rsid w:val="00705C7B"/>
    <w:rsid w:val="007074D3"/>
    <w:rsid w:val="007146B7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4491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292B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02"/>
  <w15:chartTrackingRefBased/>
  <w15:docId w15:val="{6509BA9F-3DEB-49E7-B1DF-0AD9A521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D13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E4D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C7AA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AA5"/>
    <w:rPr>
      <w:rFonts w:ascii="Verdana" w:eastAsia="Times New Roman" w:hAnsi="Verdan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7AA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AA5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0C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E6D50-3628-4098-9CED-CAA2F26530CD}"/>
</file>

<file path=customXml/itemProps2.xml><?xml version="1.0" encoding="utf-8"?>
<ds:datastoreItem xmlns:ds="http://schemas.openxmlformats.org/officeDocument/2006/customXml" ds:itemID="{9CDD1861-883E-4D20-96D8-695E5C1A8CBC}"/>
</file>

<file path=customXml/itemProps3.xml><?xml version="1.0" encoding="utf-8"?>
<ds:datastoreItem xmlns:ds="http://schemas.openxmlformats.org/officeDocument/2006/customXml" ds:itemID="{E3C50DB5-9A10-4D47-A1E2-F3191A588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2024-09-18T14:08:00Z</dcterms:created>
  <dcterms:modified xsi:type="dcterms:W3CDTF">2024-09-18T14:08:00Z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