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85"/>
        <w:gridCol w:w="40"/>
        <w:gridCol w:w="2468"/>
        <w:gridCol w:w="83"/>
        <w:gridCol w:w="2208"/>
        <w:gridCol w:w="60"/>
        <w:gridCol w:w="2232"/>
        <w:gridCol w:w="36"/>
        <w:gridCol w:w="2255"/>
        <w:gridCol w:w="13"/>
        <w:gridCol w:w="2374"/>
      </w:tblGrid>
      <w:tr w:rsidR="00E76C56" w14:paraId="020B1750" w14:textId="77777777" w:rsidTr="00E415B9">
        <w:trPr>
          <w:jc w:val="center"/>
        </w:trPr>
        <w:tc>
          <w:tcPr>
            <w:tcW w:w="1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7BB1" w14:textId="77777777" w:rsidR="00E76C56" w:rsidRDefault="00E76C56" w:rsidP="00E415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Verifica procedurale – Procedure per l’affidamento dei contratti pubblici di importo inferiore alle soglie di rilevanza comunitaria</w:t>
            </w:r>
          </w:p>
        </w:tc>
      </w:tr>
      <w:tr w:rsidR="00E76C56" w14:paraId="1662E47C" w14:textId="77777777" w:rsidTr="00E415B9">
        <w:trPr>
          <w:jc w:val="center"/>
        </w:trPr>
        <w:tc>
          <w:tcPr>
            <w:tcW w:w="1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FBA6" w14:textId="77777777" w:rsidR="00E76C56" w:rsidRDefault="00E76C56" w:rsidP="00E415B9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CHECKLIST N. 2.1c – LAV.</w:t>
            </w:r>
          </w:p>
          <w:p w14:paraId="0E881A3A" w14:textId="77777777" w:rsidR="00E76C56" w:rsidRDefault="00E76C56" w:rsidP="00E415B9">
            <w:pPr>
              <w:pStyle w:val="Standard"/>
              <w:spacing w:before="60" w:after="60" w:line="320" w:lineRule="atLeast"/>
              <w:jc w:val="center"/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PROCEDURA NEGOZIATA PER L’AFFIDAMENTO DI CONTRATTI DI </w:t>
            </w:r>
            <w:r>
              <w:rPr>
                <w:rFonts w:ascii="Arial" w:hAnsi="Arial" w:cs="Arial"/>
                <w:b/>
                <w:bCs/>
                <w:u w:val="single"/>
                <w:lang w:val="it-IT"/>
              </w:rPr>
              <w:t>LAVORI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DI IMPORTO PARI O SUPERIORE A 150.000,00 EURO E INFERIORE A 1.000.000,00 EURO – procedura negoziata</w:t>
            </w:r>
          </w:p>
        </w:tc>
      </w:tr>
      <w:tr w:rsidR="00E76C56" w14:paraId="4F714C75" w14:textId="77777777" w:rsidTr="00E415B9">
        <w:trPr>
          <w:jc w:val="center"/>
        </w:trPr>
        <w:tc>
          <w:tcPr>
            <w:tcW w:w="1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3279" w14:textId="77777777" w:rsidR="00E76C56" w:rsidRDefault="00E76C56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  <w:tr w:rsidR="00E76C56" w14:paraId="33B72580" w14:textId="77777777" w:rsidTr="00E415B9">
        <w:trPr>
          <w:jc w:val="center"/>
        </w:trPr>
        <w:tc>
          <w:tcPr>
            <w:tcW w:w="1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1220" w14:textId="77777777" w:rsidR="00E76C56" w:rsidRDefault="00E76C56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Art. 37 – Nel caso la Stazione appaltante sia un Comune non capoluogo di Provincia, l’acquisizione di lavori è avvenuta secondo le modalità previste dall’art. 37 co. 4</w:t>
            </w:r>
          </w:p>
        </w:tc>
      </w:tr>
      <w:tr w:rsidR="00E76C56" w14:paraId="6DCB0BC5" w14:textId="77777777" w:rsidTr="00E415B9">
        <w:trPr>
          <w:jc w:val="center"/>
        </w:trPr>
        <w:tc>
          <w:tcPr>
            <w:tcW w:w="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6B1B" w14:textId="77777777" w:rsidR="00E76C56" w:rsidRDefault="00E76C56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Ricorrendo ad una Centrale di committenza o a soggetti aggregatori qualificati.</w:t>
            </w:r>
          </w:p>
        </w:tc>
        <w:tc>
          <w:tcPr>
            <w:tcW w:w="4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7A8DA" w14:textId="77777777" w:rsidR="00E76C56" w:rsidRDefault="00E76C56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Mediante unioni di Comuni costituite o qualificate come Centrali di committenza o associandosi o consorziandosi in Centrali di committenza.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575F4" w14:textId="77777777" w:rsidR="00E76C56" w:rsidRDefault="00E76C56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Ricorrendo alla stazione unica appaltante costituita presso gli enti di area vasta ai sensi della legge 7 aprile 2014, n. 56.</w:t>
            </w:r>
          </w:p>
        </w:tc>
      </w:tr>
      <w:tr w:rsidR="00E76C56" w14:paraId="08B45893" w14:textId="77777777" w:rsidTr="00E415B9">
        <w:trPr>
          <w:jc w:val="center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87C5" w14:textId="77777777" w:rsidR="00E76C56" w:rsidRDefault="00E76C56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84625" w14:textId="77777777" w:rsidR="00E76C56" w:rsidRDefault="00E76C56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7A80C" w14:textId="77777777" w:rsidR="00E76C56" w:rsidRDefault="00E76C56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6AD73" w14:textId="77777777" w:rsidR="00E76C56" w:rsidRDefault="00E76C56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8ED7E" w14:textId="77777777" w:rsidR="00E76C56" w:rsidRDefault="00E76C56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BD702" w14:textId="77777777" w:rsidR="00E76C56" w:rsidRDefault="00E76C56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E76C56" w14:paraId="7C7FCD76" w14:textId="77777777" w:rsidTr="00E415B9">
        <w:trPr>
          <w:jc w:val="center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6A1CC" w14:textId="77777777" w:rsidR="00E76C56" w:rsidRDefault="00E76C56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215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D0E6" w14:textId="77777777" w:rsidR="00E76C56" w:rsidRDefault="00E76C56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E76C56" w14:paraId="5C1DA446" w14:textId="77777777" w:rsidTr="00E415B9">
        <w:trPr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A13C3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Valore stimato </w:t>
            </w:r>
          </w:p>
          <w:p w14:paraId="0DD50F43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dell’appalto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34A3" w14:textId="77777777" w:rsidR="00E76C56" w:rsidRDefault="00E76C56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2D01" w14:textId="77777777" w:rsidR="00E76C56" w:rsidRDefault="00E76C56" w:rsidP="00E415B9">
            <w:pPr>
              <w:pStyle w:val="Standard"/>
              <w:tabs>
                <w:tab w:val="left" w:pos="3195"/>
              </w:tabs>
            </w:pPr>
            <w:proofErr w:type="spellStart"/>
            <w:r>
              <w:rPr>
                <w:rFonts w:ascii="Arial" w:hAnsi="Arial" w:cs="Arial"/>
                <w:b/>
              </w:rPr>
              <w:t>Importo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seguito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dell’aggiudicazione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4666" w14:textId="77777777" w:rsidR="00E76C56" w:rsidRDefault="00E76C56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decorrenza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7205" w14:textId="77777777" w:rsidR="00E76C56" w:rsidRDefault="00E76C56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scadenza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2825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673AF6DF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b/>
              </w:rPr>
            </w:pPr>
          </w:p>
        </w:tc>
      </w:tr>
      <w:tr w:rsidR="00E76C56" w14:paraId="685F3ECA" w14:textId="77777777" w:rsidTr="00E415B9">
        <w:trPr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3F468" w14:textId="77777777" w:rsidR="00E76C56" w:rsidRDefault="00E76C56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37F5" w14:textId="77777777" w:rsidR="00E76C56" w:rsidRDefault="00E76C56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ADB5" w14:textId="77777777" w:rsidR="00E76C56" w:rsidRDefault="00E76C56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F4C2" w14:textId="77777777" w:rsidR="00E76C56" w:rsidRDefault="00E76C56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A7FE" w14:textId="77777777" w:rsidR="00E76C56" w:rsidRDefault="00E76C56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9C4F" w14:textId="77777777" w:rsidR="00E76C56" w:rsidRDefault="00E76C56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28F8BF26" w14:textId="77777777" w:rsidR="00E76C56" w:rsidRDefault="00E76C56" w:rsidP="00E76C56">
      <w:pPr>
        <w:pStyle w:val="Standard"/>
        <w:rPr>
          <w:rFonts w:ascii="Arial" w:hAnsi="Arial" w:cs="Arial"/>
          <w:b/>
          <w:bCs/>
        </w:rPr>
      </w:pPr>
    </w:p>
    <w:p w14:paraId="69C9E0A1" w14:textId="77777777" w:rsidR="00E76C56" w:rsidRDefault="00E76C56" w:rsidP="00E76C56">
      <w:pPr>
        <w:pStyle w:val="Standard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270"/>
        <w:gridCol w:w="3118"/>
        <w:gridCol w:w="2555"/>
        <w:gridCol w:w="3503"/>
      </w:tblGrid>
      <w:tr w:rsidR="00E76C56" w14:paraId="04D73FE8" w14:textId="77777777" w:rsidTr="00E415B9">
        <w:trPr>
          <w:trHeight w:val="408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B79CD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1a </w:t>
            </w:r>
            <w:proofErr w:type="spellStart"/>
            <w:r>
              <w:rPr>
                <w:rFonts w:ascii="Arial" w:hAnsi="Arial" w:cs="Arial"/>
                <w:b/>
                <w:bCs/>
              </w:rPr>
              <w:t>modifica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contratto</w:t>
            </w:r>
            <w:proofErr w:type="spellEnd"/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C63DF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2a </w:t>
            </w:r>
            <w:proofErr w:type="spellStart"/>
            <w:r>
              <w:rPr>
                <w:rFonts w:ascii="Arial" w:hAnsi="Arial" w:cs="Arial"/>
                <w:b/>
                <w:bCs/>
              </w:rPr>
              <w:t>modifica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contratto</w:t>
            </w:r>
            <w:proofErr w:type="spellEnd"/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036E8" w14:textId="77777777" w:rsidR="00E76C56" w:rsidRDefault="00E76C56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</w:tc>
      </w:tr>
      <w:tr w:rsidR="00E76C56" w14:paraId="7BC0B6EA" w14:textId="77777777" w:rsidTr="00E415B9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B6C67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A87B1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Importo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47268" w14:textId="77777777" w:rsidR="00E76C56" w:rsidRDefault="00E76C56" w:rsidP="00E415B9">
            <w:pPr>
              <w:pStyle w:val="Standard"/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5E934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Importo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05F9C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</w:tr>
      <w:tr w:rsidR="00E76C56" w14:paraId="72CE9B2E" w14:textId="77777777" w:rsidTr="00E415B9">
        <w:trPr>
          <w:trHeight w:val="4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627A5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BA980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2750F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186F6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33BEC" w14:textId="77777777" w:rsidR="00E76C56" w:rsidRDefault="00E76C56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7B243ABA" w14:textId="77777777" w:rsidR="00E76C56" w:rsidRDefault="00E76C56" w:rsidP="00E76C56">
      <w:pPr>
        <w:rPr>
          <w:szCs w:val="21"/>
        </w:rPr>
      </w:pPr>
    </w:p>
    <w:p w14:paraId="37EDFE10" w14:textId="77777777" w:rsidR="00E76C56" w:rsidRDefault="00E76C56" w:rsidP="00E76C56">
      <w:pPr>
        <w:rPr>
          <w:szCs w:val="21"/>
        </w:rPr>
        <w:sectPr w:rsidR="00E76C56">
          <w:footerReference w:type="default" r:id="rId7"/>
          <w:pgSz w:w="16838" w:h="11906" w:orient="landscape"/>
          <w:pgMar w:top="1134" w:right="1418" w:bottom="1134" w:left="1134" w:header="720" w:footer="720" w:gutter="0"/>
          <w:cols w:space="720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7407"/>
        <w:gridCol w:w="1493"/>
        <w:gridCol w:w="4679"/>
      </w:tblGrid>
      <w:tr w:rsidR="00E76C56" w14:paraId="50FF4546" w14:textId="77777777" w:rsidTr="00E415B9">
        <w:trPr>
          <w:trHeight w:hRule="exact" w:val="305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87578" w14:textId="77777777" w:rsidR="00E76C56" w:rsidRDefault="00E76C56" w:rsidP="00E415B9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VERIFICA DELLE PROCEDURE</w:t>
            </w:r>
          </w:p>
        </w:tc>
      </w:tr>
      <w:tr w:rsidR="00E76C56" w14:paraId="3B5E2FC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16F9C" w14:textId="77777777" w:rsidR="00E76C56" w:rsidRDefault="00E76C56" w:rsidP="00E415B9">
            <w:r>
              <w:t xml:space="preserve"> 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3A410" w14:textId="77777777" w:rsidR="00E76C56" w:rsidRDefault="00E76C56" w:rsidP="00E415B9">
            <w:pPr>
              <w:pStyle w:val="Standard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Verifica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9E555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7C0FE0E4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38411" w14:textId="77777777" w:rsidR="00E76C56" w:rsidRDefault="00E76C56" w:rsidP="00E415B9">
            <w:r>
              <w:t xml:space="preserve">  </w:t>
            </w:r>
          </w:p>
        </w:tc>
      </w:tr>
      <w:tr w:rsidR="00E76C56" w14:paraId="1DEBD31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AE611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8E3AE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rispettate le disposizioni della normativa nazionale vigente?</w:t>
            </w:r>
          </w:p>
          <w:p w14:paraId="52836B51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Art. 36 comma 2 lett. c)</w:t>
            </w:r>
          </w:p>
          <w:p w14:paraId="16B8EBDA" w14:textId="77777777" w:rsidR="00E76C56" w:rsidRDefault="00E76C56" w:rsidP="00E415B9">
            <w:pPr>
              <w:pStyle w:val="Standard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CD379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9BB85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76307EF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E7AF6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02C7F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E'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stato nominato il Responsabile Unico del Procedimento ai sensi dell’art. 31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7EB2A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57ACE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9D514CB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6E8B6F0F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E76C56" w14:paraId="06CB794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2E45A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F33D3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Esiste un atto formale di determinazione o decretazione di contrarre in conformità all’ordinamento proprio della stazione appaltante, ai sensi dell’art. 32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67F40B67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661E3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5F16C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E76C56" w14:paraId="3C62E4C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95A3C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792C6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requisiti che i partecipanti devono possedere per poter concorrere alla gara di appalto?</w:t>
            </w:r>
          </w:p>
          <w:p w14:paraId="2896B41C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86B84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17C85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7C85C34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FF77E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67C01" w14:textId="77777777" w:rsidR="00E76C56" w:rsidRDefault="00E76C56" w:rsidP="00E415B9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criteri di aggiudicazione prescelti, nel rispetto di quanto disposto dall’art. 95 del Codice?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02D65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A5F45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64D4D0E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0E271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6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BE1B0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si evince che la stazione appaltante si è dotata, eventualmente, in via preliminare, di un proprio regolamento? </w:t>
            </w:r>
          </w:p>
          <w:p w14:paraId="05AE1893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167A5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1C6D0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E76C56" w14:paraId="2951DBB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05A94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7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FB855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quale modalità è stata scelta dalla stazione appaltante, per le indagini esplorative preliminari volte a individuare gli operatori da invitare a presentare preventivo?</w:t>
            </w:r>
          </w:p>
          <w:p w14:paraId="68CF632D" w14:textId="77777777" w:rsidR="00E76C56" w:rsidRDefault="00E76C56" w:rsidP="00E76C56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Sulla base di indagini di mercato</w:t>
            </w:r>
          </w:p>
          <w:p w14:paraId="771CAE6E" w14:textId="77777777" w:rsidR="00E76C56" w:rsidRDefault="00E76C56" w:rsidP="00E76C56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Tramite elenchi di operatori economici</w:t>
            </w:r>
          </w:p>
          <w:p w14:paraId="225CA02F" w14:textId="77777777" w:rsidR="00E76C56" w:rsidRDefault="00E76C56" w:rsidP="00E76C56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Mediante consultazioni di cataloghi elettronici del mercato elettronico</w:t>
            </w:r>
          </w:p>
          <w:p w14:paraId="5679E60B" w14:textId="77777777" w:rsidR="00E76C56" w:rsidRDefault="00E76C56" w:rsidP="00E76C56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Altro (specificare nei commenti)</w:t>
            </w:r>
          </w:p>
          <w:p w14:paraId="1D7B0BF7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6BFA6" w14:textId="77777777" w:rsidR="00E76C56" w:rsidRDefault="00E76C56" w:rsidP="00E415B9">
            <w:pPr>
              <w:pStyle w:val="Standard"/>
              <w:snapToGrid w:val="0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Una ed una sola selezionata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310A2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41A62E4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6AC2F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7.a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86376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stazione appaltante ha pubblicato l’attività di esplorazione del mercato nel profilo del committente e la modalità? Nel caso abbia utilizzato altre forme di pubblicità, specificare quali?</w:t>
            </w:r>
          </w:p>
          <w:p w14:paraId="3B3C7E48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576E3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E9711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6EB2FB05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A6875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8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6245A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provveduto ad individuare almeno dieci operatori economici?</w:t>
            </w:r>
          </w:p>
          <w:p w14:paraId="0EFD4DFD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ACB7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FBF19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786D167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4DFF5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9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09EA2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rispettato il principio di rotazione degli inviti?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28484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2A9BA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1245FC05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1E20F2E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E76C56" w14:paraId="375E4EA0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50E96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D3B21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dalla documentazione si evince che la stazione appaltante non ha potuto procedere alla selezione degli operatori economici da invitare, ha utilizzato una procedura a sorteggio?</w:t>
            </w:r>
          </w:p>
          <w:p w14:paraId="4BA22207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0337F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45784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3493CFD0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B2AB7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2791C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CFDB7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E2773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06EC5C0B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3BC0366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832C9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10.a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102CA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Si evince dalla documentazione che la stazione appaltante ha debitamente pubblicizzato nell’avviso di indagine esplorativa o nell’avviso di costituzione dell’elenco l’utilizzo di tale procedura?   </w:t>
            </w:r>
          </w:p>
          <w:p w14:paraId="0534DAF3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04E67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CB31E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43DB7C50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2EEB8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10.b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CEDA0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Si evince dalla documentazione che la stazione appaltante ha pubblicizzato la data e il luogo in cui sarà effettuato il sorteggio degli operatori economici?</w:t>
            </w:r>
          </w:p>
          <w:p w14:paraId="73F4D25D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71F51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91EB2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6C23B9F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CE73F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04216" w14:textId="77777777" w:rsidR="00E76C56" w:rsidRDefault="00E76C56" w:rsidP="00E415B9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 xml:space="preserve">Il contratto è stato aggiudicato sulla base dell'offerta economicamente più vantaggiosa?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43CE7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14DF3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00282990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1FCF3B54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58F5407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226A7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19A21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indicare secondo quale criterio: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2A614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A08AE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1A0BFCFD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06CAB27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6E4CE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11.a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488EE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Miglior rapporto qualità/prezzo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5E0FC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50B2D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20A78D8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4E36A644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E2BD8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11.b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4CD6A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Comparazioni costi/</w:t>
            </w:r>
            <w:proofErr w:type="gramStart"/>
            <w:r>
              <w:rPr>
                <w:rFonts w:ascii="Arial" w:hAnsi="Arial" w:cs="Arial"/>
                <w:lang w:val="it-IT"/>
              </w:rPr>
              <w:t>efficacia(</w:t>
            </w:r>
            <w:proofErr w:type="gramEnd"/>
            <w:r>
              <w:rPr>
                <w:rFonts w:ascii="Arial" w:hAnsi="Arial" w:cs="Arial"/>
                <w:lang w:val="it-IT"/>
              </w:rPr>
              <w:t>costo del ciclo di vita)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95472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9537D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DD48D1F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11845D4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56DE6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11.c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5D94F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Prezzo o costo fisso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E93DB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AD841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61D70915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2F8BAB1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AF676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DD0E7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</w:t>
            </w:r>
            <w:proofErr w:type="gramStart"/>
            <w:r>
              <w:rPr>
                <w:rFonts w:ascii="Arial" w:hAnsi="Arial" w:cs="Arial"/>
                <w:lang w:val="it-IT"/>
              </w:rPr>
              <w:t>sì,  dalla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documentazione di gara si evince: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4050F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2F3CE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4DFFA21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492E8D4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68CD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432F9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i requisiti posseduti dai concorrenti, valutati nella fase di selezione, non siano stati riconsiderati nella fase di aggiudicazione.</w:t>
            </w:r>
          </w:p>
          <w:p w14:paraId="24B464A2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55D17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104B7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3604A14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F1B30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b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2C8F9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presenza del dettaglio delle somme/totali dei punteggi attribuiti in base ai diversi criteri di aggiudicazione.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4A556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7CCE1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6C1B984C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79AE7D2A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41DCA32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C05B8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45762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di applicazione del criterio del minor prezzo, di cui all’art. 95 comma 4, la stazione appaltante ha adeguatamente motivato la scelta?</w:t>
            </w:r>
          </w:p>
          <w:p w14:paraId="787927E2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C0EC6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F9D92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55AB91B9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B38ED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13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3B350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Nel caso di ricorso all’offerta economicamente più vantaggiosa, è stata formalizzata la nomina della Commissione di Aggiudicazione secondo le modalità di cui all'art. 77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75B2EE62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01C23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45258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6F07B589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15CC321F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14337B99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24478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97667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019D9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C57CD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0A810F45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77F6B6C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95289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13.a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FFCDA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All'apertura delle buste, la Commissione giudicatrice era validamente costituita?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4220C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  <w:p w14:paraId="286ADA96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0771F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E76C56" w14:paraId="2755DC99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FCECF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DAA40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Dai documenti di gara si evince che la stazione appaltante ha verificato le dichiarazioni circa il possesso dei requisiti di ordine generale di cui l’art. 80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 e il possesso dei requisiti di ordine speciale richiesti nella lettera di invito o nel bando di gara?</w:t>
            </w:r>
          </w:p>
          <w:p w14:paraId="79B924ED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A8378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277AC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07E8A5F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CAEA1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4102F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risulta che la Commissione ha verificato che i criteri utilizzati per la valutazione dell'offerta, nella procedura di aggiudicazione, sono conformi ai criteri pubblicati nel bando di gara?</w:t>
            </w:r>
          </w:p>
          <w:p w14:paraId="0FADAFAC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90FBC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D6641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6B773CD5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443E9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DFE31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documenti di gara, esplicitano le motivazioni per tutte le decisioni prese dalla Commissione aggiudicatrice?</w:t>
            </w:r>
          </w:p>
          <w:p w14:paraId="24AD484A" w14:textId="77777777" w:rsidR="00E76C56" w:rsidRDefault="00E76C56" w:rsidP="00E415B9">
            <w:pPr>
              <w:pStyle w:val="Standard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B08FB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4420F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2ADB18D0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5B7E1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C205C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Sono state presentate offerte anormalmente basse ai sensi dell'art. 97 comma 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 (“offerte anomale”)?   </w:t>
            </w:r>
          </w:p>
          <w:p w14:paraId="7082394B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CE436" w14:textId="77777777" w:rsidR="00E76C56" w:rsidRDefault="00E76C56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BD019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E76C56" w14:paraId="60A8662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3B336" w14:textId="77777777" w:rsidR="00E76C56" w:rsidRDefault="00E76C56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EFBAD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verificare i seguenti aspetti: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A0C9D" w14:textId="77777777" w:rsidR="00E76C56" w:rsidRDefault="00E76C56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2CB08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  <w:p w14:paraId="6AD3F69A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E76C56" w14:paraId="0FAC908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4023F" w14:textId="77777777" w:rsidR="00E76C56" w:rsidRDefault="00E76C56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17.a.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6EC14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richieste spiegazioni relativamente a tali offerte?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B6FCB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C7EE3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104E4B1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13826" w14:textId="77777777" w:rsidR="00E76C56" w:rsidRDefault="00E76C56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17.b.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3F0FA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decisione di approvare o respingere tali offerte è stata adeguatamente motivata dalla stazione appaltante?</w:t>
            </w:r>
          </w:p>
          <w:p w14:paraId="3280AB98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3BAF7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59E9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5660479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3662F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3CEB9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la proposta di aggiudicazione come previsto dall’art. 33 comma 1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E6B24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13F6A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DBA7862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55A92E41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071A4C8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7F6E6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7BD7B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il provvedimento di aggiudicazione definitiva?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CEF0E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  <w:p w14:paraId="279B979F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476B2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E76C56" w14:paraId="63741A5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6A3EC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B5626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facoltà di ricorrere al subappalto è stata prevista nei documenti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B93C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30CF0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08353779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4776A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61399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stazione appaltante si è avvalsa della facoltà nei documenti di gara di rendere obbligatoria l’indicazione di una terna di subappaltatori?</w:t>
            </w:r>
          </w:p>
          <w:p w14:paraId="462A923F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96788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5B4C8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5DB4E624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DD620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C7A2B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All’atto dell’offerta, il contraente ha indicato i lavori che intende subappaltare?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796DE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394EC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6308D4D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DED0F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C4D8F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  <w:p w14:paraId="1E28638F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depositato il contratto di subappalto almeno venti giorni prima dell’inizio della prestazione?</w:t>
            </w:r>
          </w:p>
          <w:p w14:paraId="0E801B0D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A7ABE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3ADA1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2E19FD4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98C99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3C3A5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  <w:p w14:paraId="0AA5404D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Il contraente ha prodotto le dichiarazioni dei subappaltatori circa l’assenza dei motivi di esclusione di cui all’art. 80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50/2016, nonché le attestazioni del possesso dei requisiti di qualificazione?</w:t>
            </w:r>
          </w:p>
          <w:p w14:paraId="00A075A9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E83E7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6EE8A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739EC28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BC52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66C7A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 caso di sub-contratti stipulati per l’esecuzione dell’appalto, il contraente ha adempiuto all’obbligo di comunicazione previsto all’art. 105 comma 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74DC8A97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DAFE0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1094E" w14:textId="77777777" w:rsidR="00E76C56" w:rsidRDefault="00E76C56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5E732A1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8F8E1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088C3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stato reso pubblico l’esito della gara secondo quanto stabilito nel bando di gara e nel rispetto dell’art. 76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B5D15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EC9F8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7CE6F2AD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42F8D0E8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6CB72D5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1F3EC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7501E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L'importo del contratto corrisponde all'importo dell'aggiudicazione?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96F42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E1815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9CEC70D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26B8C9A4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43B5A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5BB32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stato nominato il Direttore dei Lavori e il Coordinatore della sicurezza?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B3C49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B587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B94E35E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79E3797E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3E65CE1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C5D97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F287F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L'appaltatore ha rispettato gli obblighi contrattuali?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16449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0F752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BCCE479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72B8CFB0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F79C1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ECC90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negativo, la stazione appaltante ha attivato le clausole del contratto relative alle penali?</w:t>
            </w:r>
          </w:p>
          <w:p w14:paraId="21CA75EC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AAEC1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F2203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244223C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83DB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33835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apportate modifiche al contratto durante il periodo di efficacia?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02652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ABBD4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73E49C03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16EF52D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3CA3C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22F12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alternativamente: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4A61F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5D244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4C208731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3D3A1C1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90AF7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</w:t>
            </w:r>
            <w:proofErr w:type="gramStart"/>
            <w:r>
              <w:rPr>
                <w:rFonts w:ascii="Arial" w:hAnsi="Arial" w:cs="Arial"/>
                <w:bCs/>
              </w:rPr>
              <w:t>2.a</w:t>
            </w:r>
            <w:proofErr w:type="gramEnd"/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6AD46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sono state previste nei documenti di gara iniziali in clausole chiare, precise ed inequivocabili?</w:t>
            </w:r>
          </w:p>
          <w:p w14:paraId="2BA246E6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6B1C3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2EE6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55A44BF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3DBAB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</w:t>
            </w:r>
            <w:proofErr w:type="gramStart"/>
            <w:r>
              <w:rPr>
                <w:rFonts w:ascii="Arial" w:hAnsi="Arial" w:cs="Arial"/>
                <w:bCs/>
              </w:rPr>
              <w:t>2.b</w:t>
            </w:r>
            <w:proofErr w:type="gramEnd"/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F1600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i lavori supplementari, sono state rispettate le condizioni di cui all’art.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lett.b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409BC09D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90CDF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F8593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5CB1C54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239D7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24.2.c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1A60D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modifiche dovute a circostanze impreviste e imprevedibili,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lett.c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05FC1C5D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8D4E2" w14:textId="77777777" w:rsidR="00E76C56" w:rsidRDefault="00E76C56" w:rsidP="00E415B9">
            <w:pPr>
              <w:pStyle w:val="Standard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BA551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</w:tr>
      <w:tr w:rsidR="00E76C56" w14:paraId="350E624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A1F1E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</w:t>
            </w:r>
            <w:proofErr w:type="gramStart"/>
            <w:r>
              <w:rPr>
                <w:rFonts w:ascii="Arial" w:hAnsi="Arial" w:cs="Arial"/>
                <w:bCs/>
              </w:rPr>
              <w:t>2.d</w:t>
            </w:r>
            <w:proofErr w:type="gramEnd"/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89212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 caso di nuovo contraente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lett.d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2DC8A404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90174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96401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E76C56" w14:paraId="10E49E5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D8841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</w:t>
            </w:r>
            <w:proofErr w:type="gramStart"/>
            <w:r>
              <w:rPr>
                <w:rFonts w:ascii="Arial" w:hAnsi="Arial" w:cs="Arial"/>
                <w:bCs/>
              </w:rPr>
              <w:t>2.e</w:t>
            </w:r>
            <w:proofErr w:type="gramEnd"/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0D125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Le modifiche non sono sostanziali, ai sensi </w:t>
            </w:r>
            <w:proofErr w:type="gramStart"/>
            <w:r>
              <w:rPr>
                <w:rFonts w:ascii="Arial" w:hAnsi="Arial" w:cs="Arial"/>
                <w:lang w:val="it-IT"/>
              </w:rPr>
              <w:t>dell’ art.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lett.e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466BC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62286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1BE73B8F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E76C56" w14:paraId="7A254D0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1F37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65B1E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durata del contratto è stata modificata?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27B72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68D52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4C685283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59324F9E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E76C56" w14:paraId="6A71865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98760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B2265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3898E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F40F901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D9532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E76C56" w14:paraId="140E3C4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B9604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6EC33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 stata prevista l’opzione di proroga nei documenti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024B7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D3F33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1A4B576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B44D8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25.b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CBCCD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proroga è stata limitata al tempo strettamente necessario alla conclusione delle procedure per l’individuazione di un nuovo contraente?</w:t>
            </w:r>
          </w:p>
          <w:p w14:paraId="41E3F65D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F36C2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49CAD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E76C56" w14:paraId="5131499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54AAF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25.c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F0FDC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prestazioni sono state eseguite dal contraente alle medesime condizioni previste nel contratto?</w:t>
            </w:r>
          </w:p>
          <w:p w14:paraId="65406787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08280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B6E3F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E76C56" w14:paraId="595B42B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021FB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48003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il Collaudo Finale come previsto all’art. 102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FC73B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B21F7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952BA34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35BE1C95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718FA194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C38DC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E0E7C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no: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E9E96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6BDC7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1FBB5A9B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76C56" w14:paraId="3EC01D9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6B097" w14:textId="77777777" w:rsidR="00E76C56" w:rsidRDefault="00E76C56" w:rsidP="00E415B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15438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Ricorre una delle ipotesi per il rilascio del certificato di regolare esecuzione?</w:t>
            </w:r>
          </w:p>
          <w:p w14:paraId="30A8A723" w14:textId="77777777" w:rsidR="00E76C56" w:rsidRDefault="00E76C56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0A56F" w14:textId="77777777" w:rsidR="00E76C56" w:rsidRDefault="00E76C56" w:rsidP="00E415B9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77B3F" w14:textId="77777777" w:rsidR="00E76C56" w:rsidRDefault="00E76C56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</w:tbl>
    <w:p w14:paraId="6B3D0871" w14:textId="77777777" w:rsidR="00E110CD" w:rsidRDefault="00E110CD"/>
    <w:sectPr w:rsidR="00E110CD" w:rsidSect="00E76C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FCCE0" w14:textId="77777777" w:rsidR="00620414" w:rsidRDefault="00620414">
      <w:pPr>
        <w:spacing w:before="0" w:after="0" w:line="240" w:lineRule="auto"/>
      </w:pPr>
      <w:r>
        <w:separator/>
      </w:r>
    </w:p>
  </w:endnote>
  <w:endnote w:type="continuationSeparator" w:id="0">
    <w:p w14:paraId="7DC6981E" w14:textId="77777777" w:rsidR="00620414" w:rsidRDefault="006204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F751F5" w14:paraId="570C7D6D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52315DC2" w14:textId="77777777" w:rsidR="00F751F5" w:rsidRPr="00A01B50" w:rsidRDefault="00F751F5" w:rsidP="00F751F5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proofErr w:type="spellStart"/>
          <w:r w:rsidRPr="00A01B50">
            <w:rPr>
              <w:i/>
              <w:sz w:val="16"/>
              <w:szCs w:val="16"/>
            </w:rPr>
            <w:t>apr</w:t>
          </w:r>
          <w:proofErr w:type="spellEnd"/>
          <w:r w:rsidRPr="00A01B50">
            <w:rPr>
              <w:i/>
              <w:sz w:val="16"/>
              <w:szCs w:val="16"/>
            </w:rPr>
            <w:t xml:space="preserve"> 2018)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4AE6BCE2" w14:textId="77777777" w:rsidR="00F751F5" w:rsidRPr="0051552A" w:rsidRDefault="00F751F5" w:rsidP="00F751F5">
          <w:pPr>
            <w:pStyle w:val="Pidipagina"/>
            <w:jc w:val="center"/>
            <w:rPr>
              <w:i/>
              <w:sz w:val="16"/>
              <w:szCs w:val="16"/>
            </w:rPr>
          </w:pP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50/2016 </w:t>
          </w:r>
          <w:r>
            <w:rPr>
              <w:i/>
              <w:sz w:val="16"/>
              <w:szCs w:val="16"/>
            </w:rPr>
            <w:t>(fino al 19/05/2017)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10E9090A" w14:textId="77777777" w:rsidR="00F751F5" w:rsidRDefault="00F751F5" w:rsidP="00F751F5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1534B2AA" w14:textId="77777777" w:rsidR="00811781" w:rsidRPr="00F751F5" w:rsidRDefault="00811781" w:rsidP="00F75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B514B" w14:textId="77777777" w:rsidR="00620414" w:rsidRDefault="00620414">
      <w:pPr>
        <w:spacing w:before="0" w:after="0" w:line="240" w:lineRule="auto"/>
      </w:pPr>
      <w:r>
        <w:separator/>
      </w:r>
    </w:p>
  </w:footnote>
  <w:footnote w:type="continuationSeparator" w:id="0">
    <w:p w14:paraId="480C70E7" w14:textId="77777777" w:rsidR="00620414" w:rsidRDefault="006204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A6A2B"/>
    <w:multiLevelType w:val="multilevel"/>
    <w:tmpl w:val="78EC86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6820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56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58B5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20414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1781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76C56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751F5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4548"/>
  <w15:chartTrackingRefBased/>
  <w15:docId w15:val="{D4108D86-A9CF-40C1-9871-77FE717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C56"/>
    <w:pPr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76C56"/>
    <w:pPr>
      <w:tabs>
        <w:tab w:val="center" w:pos="4819"/>
        <w:tab w:val="right" w:pos="9638"/>
      </w:tabs>
    </w:pPr>
    <w:rPr>
      <w:lang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C56"/>
    <w:rPr>
      <w:rFonts w:ascii="Verdana" w:eastAsia="Times New Roman" w:hAnsi="Verdana" w:cs="Times New Roman"/>
      <w:sz w:val="20"/>
      <w:szCs w:val="24"/>
      <w:lang w:eastAsia="ko-KR"/>
    </w:rPr>
  </w:style>
  <w:style w:type="paragraph" w:customStyle="1" w:styleId="Standard">
    <w:name w:val="Standard"/>
    <w:rsid w:val="00E76C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751F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1F5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F7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BBBB25-D0E7-4A2A-8DC5-7CEDC27E6179}"/>
</file>

<file path=customXml/itemProps2.xml><?xml version="1.0" encoding="utf-8"?>
<ds:datastoreItem xmlns:ds="http://schemas.openxmlformats.org/officeDocument/2006/customXml" ds:itemID="{7592DA3D-1ED9-4CB8-8953-F0E54CC37092}"/>
</file>

<file path=customXml/itemProps3.xml><?xml version="1.0" encoding="utf-8"?>
<ds:datastoreItem xmlns:ds="http://schemas.openxmlformats.org/officeDocument/2006/customXml" ds:itemID="{FD46118E-D8CB-4ACB-8EC3-33D431BFB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2024-09-18T13:00:00Z</dcterms:created>
  <dcterms:modified xsi:type="dcterms:W3CDTF">2024-09-18T13:00:00Z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