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1018"/>
        <w:gridCol w:w="1513"/>
        <w:gridCol w:w="2067"/>
        <w:gridCol w:w="228"/>
        <w:gridCol w:w="2267"/>
        <w:gridCol w:w="1075"/>
        <w:gridCol w:w="1186"/>
        <w:gridCol w:w="2376"/>
      </w:tblGrid>
      <w:tr w:rsidR="003D10C8" w14:paraId="10056A79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A127" w14:textId="77777777" w:rsidR="003D10C8" w:rsidRDefault="00EB7F31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Autovalutazione delle p</w:t>
            </w:r>
            <w:r w:rsidR="001331E1">
              <w:rPr>
                <w:rFonts w:ascii="Arial" w:hAnsi="Arial" w:cs="Arial"/>
                <w:b/>
                <w:sz w:val="22"/>
                <w:szCs w:val="22"/>
              </w:rPr>
              <w:t>rocedure ordinarie per l’affidamento dei contratti pubblici di lavori sopra Euro 1.000.000</w:t>
            </w:r>
          </w:p>
          <w:p w14:paraId="53FC458F" w14:textId="77777777" w:rsidR="003D10C8" w:rsidRDefault="001331E1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AGGIORNATA AL D.Lgs. 56/2017</w:t>
            </w:r>
          </w:p>
        </w:tc>
      </w:tr>
      <w:tr w:rsidR="003D10C8" w14:paraId="047DB767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27089" w14:textId="1C7ED732" w:rsidR="003D10C8" w:rsidRDefault="001331E1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CHECKLIST N.</w:t>
            </w:r>
            <w:r w:rsidR="00B841C1">
              <w:rPr>
                <w:rFonts w:ascii="Arial" w:hAnsi="Arial" w:cs="Arial"/>
                <w:b/>
                <w:bCs/>
                <w:lang w:val="it-IT"/>
              </w:rPr>
              <w:t xml:space="preserve"> 5</w:t>
            </w:r>
          </w:p>
          <w:p w14:paraId="363403AC" w14:textId="77777777" w:rsidR="003D10C8" w:rsidRDefault="001331E1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ORDINARIE PER AFFIDAMENTO DI CONCESSIONI O PPP</w:t>
            </w:r>
          </w:p>
        </w:tc>
      </w:tr>
      <w:tr w:rsidR="003D10C8" w14:paraId="01152DF0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19CB1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3D10C8" w14:paraId="423A35D4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FF86D" w14:textId="77777777" w:rsidR="003D10C8" w:rsidRDefault="001331E1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>Art. 38 co.1 - La Stazione appaltante è iscritta nell'elenco delle Stazioni appaltanti qualificate, istituito presso l'Autorità Nazionale AntiCorruzione (ANAC), ai sensi dell'art. 38, comma 1, del D.Lgs. 50/2016?</w:t>
            </w:r>
            <w:r>
              <w:rPr>
                <w:rFonts w:ascii="Arial" w:hAnsi="Arial" w:cs="Arial"/>
                <w:b/>
                <w:bCs/>
                <w:lang w:val="it-IT"/>
              </w:rPr>
              <w:br/>
              <w:t>Fino alla data di entrata in vigore del Sistema di qualificazione delle Stazioni appaltanti citato, i requisiti di qualificazione sono soddisfatti  mediante l'iscrizione all'l’Anagrafe unica delle stazioni appaltanti (di cui all'articolo 33</w:t>
            </w:r>
            <w:r>
              <w:rPr>
                <w:rFonts w:ascii="Cambria Math" w:hAnsi="Cambria Math" w:cs="Cambria Math"/>
                <w:b/>
                <w:bCs/>
                <w:lang w:val="it-IT"/>
              </w:rPr>
              <w:t>‐</w:t>
            </w:r>
            <w:r>
              <w:rPr>
                <w:rFonts w:ascii="Arial" w:hAnsi="Arial" w:cs="Arial"/>
                <w:b/>
                <w:bCs/>
                <w:lang w:val="it-IT"/>
              </w:rPr>
              <w:t>ter del Decreto Legge n. 179/2012, conv. con modif. Legge n. 221/2012).</w:t>
            </w:r>
          </w:p>
        </w:tc>
      </w:tr>
      <w:tr w:rsidR="003D10C8" w14:paraId="1FFA5BB2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FEF40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co.3 - In caso la Stazione appaltante non sia in possesso di qualificazione, l'appalto è stato aggiudicato esclusivamente:</w:t>
            </w:r>
          </w:p>
        </w:tc>
      </w:tr>
      <w:tr w:rsidR="003D10C8" w14:paraId="3D1E37EC" w14:textId="77777777">
        <w:trPr>
          <w:jc w:val="center"/>
        </w:trPr>
        <w:tc>
          <w:tcPr>
            <w:tcW w:w="7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C6F4A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committenza?</w:t>
            </w:r>
          </w:p>
        </w:tc>
        <w:tc>
          <w:tcPr>
            <w:tcW w:w="7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6497E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aggregazione con una o più Stazioni appaltanti qualificate?</w:t>
            </w:r>
          </w:p>
        </w:tc>
      </w:tr>
      <w:tr w:rsidR="003D10C8" w14:paraId="2330C135" w14:textId="77777777">
        <w:trPr>
          <w:jc w:val="center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427B5" w14:textId="77777777" w:rsidR="003D10C8" w:rsidRDefault="001331E1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</w:rPr>
              <w:t>SI - NO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35D3" w14:textId="77777777" w:rsidR="003D10C8" w:rsidRDefault="003D10C8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1CF25" w14:textId="77777777" w:rsidR="003D10C8" w:rsidRDefault="001331E1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</w:rPr>
              <w:t>SI - NO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4A312" w14:textId="77777777" w:rsidR="003D10C8" w:rsidRDefault="003D10C8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D10C8" w14:paraId="5412BE9D" w14:textId="77777777">
        <w:trPr>
          <w:jc w:val="center"/>
        </w:trPr>
        <w:tc>
          <w:tcPr>
            <w:tcW w:w="1450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0D5AA" w14:textId="77777777" w:rsidR="003D10C8" w:rsidRPr="00EF3541" w:rsidRDefault="001331E1">
            <w:pPr>
              <w:pStyle w:val="Standard"/>
              <w:spacing w:before="60" w:after="60" w:line="320" w:lineRule="atLeast"/>
              <w:jc w:val="both"/>
            </w:pPr>
            <w:r w:rsidRPr="00EF3541">
              <w:rPr>
                <w:rFonts w:ascii="Arial" w:hAnsi="Arial" w:cs="Arial"/>
                <w:b/>
                <w:bCs/>
                <w:lang w:val="it-IT"/>
              </w:rPr>
              <w:t>Ad oggi non è stato implementato il sistema di qualificazione delle stazioni appaltanti e delle centrali di committenza di cui all’art. 38, MA non è ancora stato nemmeno adottato il Decreto ex art. 37 co.5 PER CUI in questa fase transitoria vale quanto stabilito dall’art. 216 co. 10 – “</w:t>
            </w:r>
            <w:r w:rsidRPr="00EF3541">
              <w:rPr>
                <w:rFonts w:ascii="Arial" w:hAnsi="Arial" w:cs="Arial"/>
                <w:b/>
                <w:bCs/>
                <w:i/>
                <w:lang w:val="it-IT"/>
              </w:rPr>
              <w:t>Fino alla data di entrata in vigore del sistema di qualificazione delle stazioni appaltanti di cui all'articolo 38, i requisiti di qualificazione sono soddisfatti mediante l'iscrizione all'anagrafe di cui all'articolo 33-ter del decreto-legge 18 ottobre 2012, n. 179, convertito, con modificazioni, dalla legge 17 dicembre 2012, n. 221”</w:t>
            </w:r>
            <w:r w:rsidRPr="00EF3541">
              <w:rPr>
                <w:rFonts w:ascii="Arial" w:hAnsi="Arial" w:cs="Arial"/>
                <w:b/>
                <w:bCs/>
                <w:lang w:val="it-IT"/>
              </w:rPr>
              <w:t xml:space="preserve"> – </w:t>
            </w:r>
          </w:p>
          <w:p w14:paraId="23C19235" w14:textId="77777777" w:rsidR="003D10C8" w:rsidRDefault="001331E1">
            <w:pPr>
              <w:pStyle w:val="Standard"/>
              <w:spacing w:before="60" w:after="60" w:line="320" w:lineRule="atLeast"/>
              <w:jc w:val="both"/>
            </w:pPr>
            <w:r w:rsidRPr="00EF3541">
              <w:rPr>
                <w:rFonts w:ascii="Arial" w:hAnsi="Arial" w:cs="Arial"/>
                <w:b/>
                <w:bCs/>
                <w:lang w:val="it-IT"/>
              </w:rPr>
              <w:t>Secondo cui è sufficiente l’iscrizione all’anagrafe unica delle stazioni appaltanti AUSA per poter operare come stazione appaltante e quindi come centrale di committenza.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                            </w:t>
            </w:r>
          </w:p>
        </w:tc>
      </w:tr>
      <w:tr w:rsidR="003D10C8" w14:paraId="2A6D2114" w14:textId="77777777">
        <w:trPr>
          <w:jc w:val="center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77230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7A547D84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dell’operazione economica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2851" w14:textId="77777777" w:rsidR="003D10C8" w:rsidRDefault="001331E1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6C8B" w14:textId="77777777" w:rsidR="003D10C8" w:rsidRDefault="001331E1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Importo a seguito dell’aggiudicazione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BE0E" w14:textId="77777777" w:rsidR="003D10C8" w:rsidRDefault="001331E1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decorrenza del contratto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E359" w14:textId="77777777" w:rsidR="003D10C8" w:rsidRDefault="001331E1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scadenza del contratto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AA03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74A2F3BA" w14:textId="77777777" w:rsidR="003D10C8" w:rsidRDefault="003D10C8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</w:p>
        </w:tc>
      </w:tr>
      <w:tr w:rsidR="003D10C8" w14:paraId="4F48DFCC" w14:textId="77777777">
        <w:trPr>
          <w:jc w:val="center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AD582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9C84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47F3" w14:textId="77777777" w:rsidR="003D10C8" w:rsidRDefault="003D10C8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0082" w14:textId="77777777" w:rsidR="003D10C8" w:rsidRDefault="003D10C8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CC9" w14:textId="77777777" w:rsidR="003D10C8" w:rsidRDefault="003D10C8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E8C0" w14:textId="77777777" w:rsidR="003D10C8" w:rsidRDefault="001331E1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39BE6AFA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p w14:paraId="591AD8CD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p w14:paraId="75FC2475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p w14:paraId="650FA399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269"/>
        <w:gridCol w:w="3120"/>
        <w:gridCol w:w="2552"/>
        <w:gridCol w:w="3501"/>
      </w:tblGrid>
      <w:tr w:rsidR="003D10C8" w14:paraId="3859C79E" w14:textId="77777777">
        <w:trPr>
          <w:trHeight w:val="408"/>
        </w:trPr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4119B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1a modifica del contratto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425CC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 modifica del contratto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AEFAE" w14:textId="77777777" w:rsidR="003D10C8" w:rsidRDefault="001331E1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 xml:space="preserve">Importo complessivo erogato (solo </w:t>
            </w:r>
            <w:r>
              <w:rPr>
                <w:rFonts w:ascii="Arial" w:hAnsi="Arial" w:cs="Arial"/>
                <w:b/>
                <w:lang w:val="it-IT"/>
              </w:rPr>
              <w:lastRenderedPageBreak/>
              <w:t>in caso di saldo)</w:t>
            </w:r>
          </w:p>
        </w:tc>
      </w:tr>
      <w:tr w:rsidR="003D10C8" w14:paraId="4A92291D" w14:textId="77777777">
        <w:trPr>
          <w:trHeight w:val="25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BD755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N° e data dell’atto di approvazione della modifica del contratto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0B709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AC855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44C95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AB297" w14:textId="77777777" w:rsidR="003D10C8" w:rsidRDefault="003D10C8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3D10C8" w14:paraId="782B86D0" w14:textId="77777777">
        <w:trPr>
          <w:trHeight w:val="433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02AB4" w14:textId="77777777" w:rsidR="003D10C8" w:rsidRDefault="003D10C8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32E2F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F7F0A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984C9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81147" w14:textId="77777777" w:rsidR="003D10C8" w:rsidRDefault="001331E1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38DFD858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p w14:paraId="7E7B6854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7587"/>
        <w:gridCol w:w="1241"/>
        <w:gridCol w:w="4883"/>
      </w:tblGrid>
      <w:tr w:rsidR="003D10C8" w14:paraId="428FA8BA" w14:textId="77777777">
        <w:trPr>
          <w:trHeight w:val="454"/>
        </w:trPr>
        <w:tc>
          <w:tcPr>
            <w:tcW w:w="14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E5FD7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 DELLE PROCEDURE</w:t>
            </w:r>
          </w:p>
        </w:tc>
      </w:tr>
      <w:tr w:rsidR="003D10C8" w14:paraId="7BFD5CA7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8B77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25C05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0E9DB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59985FAF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9058" w14:textId="77777777" w:rsidR="003D10C8" w:rsidRDefault="003D10C8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D10C8" w14:paraId="0DBC0C17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866F5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29B40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Documentazione di gara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A9C5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CE1B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1F01539E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88355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31776" w14:textId="77777777" w:rsidR="003D10C8" w:rsidRDefault="001331E1">
            <w:pPr>
              <w:pStyle w:val="Standard"/>
              <w:spacing w:line="240" w:lineRule="atLeast"/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 nel rispetto dei principi di cui agli artt. 30 comma 1, 34 (CAM) e 42 (Conflitto d’interesse)?</w:t>
            </w:r>
          </w:p>
          <w:p w14:paraId="13E803EE" w14:textId="77777777" w:rsidR="003D10C8" w:rsidRDefault="001331E1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Art. 36 comma 2 lett. d) </w:t>
            </w:r>
          </w:p>
          <w:p w14:paraId="46EB87D2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64C4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8C9C2" w14:textId="77777777" w:rsidR="003D10C8" w:rsidRPr="00EF3541" w:rsidRDefault="001331E1">
            <w:pPr>
              <w:pStyle w:val="Standard"/>
              <w:snapToGrid w:val="0"/>
            </w:pPr>
            <w:r w:rsidRPr="00EF3541">
              <w:rPr>
                <w:rFonts w:ascii="Arial" w:hAnsi="Arial" w:cs="Arial"/>
                <w:b/>
                <w:lang w:val="it-IT"/>
              </w:rPr>
              <w:t>Per i lavori di importo pari o superiore a 1.000.000 di euro mediante ricorso alle procedure ordinarie fermo restando quanto previsto dall’art.95 co.4 lett. a)</w:t>
            </w:r>
          </w:p>
          <w:p w14:paraId="0D10F763" w14:textId="77777777" w:rsidR="003D10C8" w:rsidRPr="00EF3541" w:rsidRDefault="003D10C8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</w:p>
          <w:p w14:paraId="5EEF579F" w14:textId="77777777" w:rsidR="003D10C8" w:rsidRDefault="001331E1">
            <w:pPr>
              <w:pStyle w:val="Standard"/>
              <w:jc w:val="both"/>
            </w:pPr>
            <w:r w:rsidRPr="00EF3541">
              <w:rPr>
                <w:rFonts w:ascii="Arial" w:hAnsi="Arial" w:cs="Arial"/>
                <w:lang w:val="it-IT"/>
              </w:rPr>
              <w:t xml:space="preserve">Il </w:t>
            </w:r>
            <w:hyperlink r:id="rId10" w:history="1">
              <w:r w:rsidRPr="00EF3541">
                <w:rPr>
                  <w:rFonts w:ascii="Arial" w:hAnsi="Arial" w:cs="Arial"/>
                  <w:lang w:val="it-IT"/>
                </w:rPr>
                <w:t>dlgs 56/2017</w:t>
              </w:r>
            </w:hyperlink>
            <w:r w:rsidRPr="00EF3541">
              <w:rPr>
                <w:rFonts w:ascii="Arial" w:hAnsi="Arial" w:cs="Arial"/>
                <w:lang w:val="it-IT"/>
              </w:rPr>
              <w:t xml:space="preserve"> ha elevato, per i lavori, da 1 milione a 2 milioni di euro la soglia per l’utilizzo del criterio del massimo ribasso, a condizione che l’affidamento dei lavori avvenga con </w:t>
            </w:r>
            <w:r w:rsidRPr="00EF3541">
              <w:rPr>
                <w:rFonts w:ascii="Arial" w:hAnsi="Arial" w:cs="Arial"/>
                <w:b/>
                <w:bCs/>
                <w:lang w:val="it-IT"/>
              </w:rPr>
              <w:t>procedura ordinaria</w:t>
            </w:r>
            <w:r w:rsidRPr="00EF3541">
              <w:rPr>
                <w:rFonts w:ascii="Arial" w:hAnsi="Arial" w:cs="Arial"/>
                <w:lang w:val="it-IT"/>
              </w:rPr>
              <w:t xml:space="preserve"> e sulla </w:t>
            </w:r>
            <w:r w:rsidRPr="00EF3541">
              <w:rPr>
                <w:rFonts w:ascii="Arial" w:hAnsi="Arial" w:cs="Arial"/>
                <w:b/>
                <w:bCs/>
                <w:lang w:val="it-IT"/>
              </w:rPr>
              <w:t>base del progetto esecutivo</w:t>
            </w:r>
            <w:r w:rsidRPr="00EF3541">
              <w:rPr>
                <w:rFonts w:ascii="Arial" w:hAnsi="Arial" w:cs="Arial"/>
                <w:lang w:val="it-IT"/>
              </w:rPr>
              <w:t>.</w:t>
            </w:r>
          </w:p>
        </w:tc>
      </w:tr>
      <w:tr w:rsidR="003D10C8" w14:paraId="5B72F3BC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9A9C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0DB8" w14:textId="77777777" w:rsidR="003D10C8" w:rsidRDefault="001331E1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il RUP è stato individuato nell'atto di adozione o aggiornamento dei programmi di cui all'art. 21, comma 1, (Programma degli acquisti e programmazione dei lavori pubblici) o nell'atto di avvio relativo ad ogni singolo intervento per le esigenze non incluse in programmazione?</w:t>
            </w:r>
          </w:p>
          <w:p w14:paraId="65AC046A" w14:textId="77777777" w:rsidR="003D10C8" w:rsidRDefault="001331E1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  <w:p w14:paraId="133235AB" w14:textId="77777777" w:rsidR="003D10C8" w:rsidRDefault="003D10C8">
            <w:pPr>
              <w:pStyle w:val="Standard"/>
              <w:rPr>
                <w:lang w:val="it-IT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1AED3" w14:textId="77777777" w:rsidR="003D10C8" w:rsidRDefault="003D10C8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C95F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154431FC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D518E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1.2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A1C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Esiste un atto formale di determinazione o decretazione di contrarre in conformità all’ordinamento proprio della stazione appaltante, ai sensi dell’art. 32 del D.Lgs 50/2016?</w:t>
            </w:r>
          </w:p>
          <w:p w14:paraId="00005BE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  <w:p w14:paraId="28D29140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B000C" w14:textId="77777777" w:rsidR="003D10C8" w:rsidRDefault="003D10C8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D8BA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39DBD055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E449F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6AD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DB2D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811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D10C8" w14:paraId="64A8D954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40E3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23CCF" w14:textId="77777777" w:rsidR="003D10C8" w:rsidRDefault="001331E1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8918" w14:textId="77777777" w:rsidR="003D10C8" w:rsidRDefault="003D10C8">
            <w:pPr>
              <w:pStyle w:val="Standard"/>
              <w:snapToGrid w:val="0"/>
              <w:spacing w:after="10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AE4" w14:textId="77777777" w:rsidR="003D10C8" w:rsidRDefault="001331E1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D10C8" w14:paraId="4293A232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56D0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D479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l’aggiudicazione sia prevista sulla base dell’offerta economicamente più vantaggiosa, è presente una griglia di ponderazione attribuita dalla stazione appaltante a ciascun criterio per la valutazione dell’offerta?</w:t>
            </w:r>
          </w:p>
          <w:p w14:paraId="199090D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  <w:p w14:paraId="5A11AD9F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8FF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5E374" w14:textId="77777777" w:rsidR="003D10C8" w:rsidRPr="00EF3541" w:rsidRDefault="001331E1">
            <w:pPr>
              <w:pStyle w:val="Standard"/>
            </w:pPr>
            <w:r w:rsidRPr="00EF3541">
              <w:rPr>
                <w:rFonts w:ascii="Arial" w:hAnsi="Arial" w:cs="Arial"/>
                <w:lang w:val="it-IT"/>
              </w:rPr>
              <w:t>Art. 95 co.10-bis. La stazione appaltante, al fine di assicurare l’effettiva individuazione del miglio prezzo rapporto qualità/prezzo, valorizza gli elementi qualitativi dell’offerta e individua criteri tali da garantire un confronto concorrenziale effettivo sui profili tecnici. A tal fine la stazione appaltante stabilisce un tetto max per il punteggio economico entro il limite del 30%</w:t>
            </w:r>
          </w:p>
        </w:tc>
      </w:tr>
      <w:tr w:rsidR="003D10C8" w14:paraId="7FA87068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235D3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BB71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EA51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FF7F7" w14:textId="77777777" w:rsidR="003D10C8" w:rsidRDefault="003D10C8">
            <w:pPr>
              <w:pStyle w:val="Standard"/>
              <w:rPr>
                <w:rFonts w:ascii="Arial" w:hAnsi="Arial" w:cs="Arial"/>
                <w:color w:val="C00000"/>
                <w:lang w:val="it-IT"/>
              </w:rPr>
            </w:pPr>
          </w:p>
        </w:tc>
      </w:tr>
      <w:tr w:rsidR="003D10C8" w14:paraId="58BC6584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D300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1.5.a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879E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valorizzato gli elementi qualitativi dell’offerta ed individuato i criteri al fine di garantire un confronto concorrenziale sui profili tecnici?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9420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7A9DE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D10C8" w14:paraId="709EF139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F57D0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89EC0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comprende la possibilità di varianti in sede di offerta?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F23E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6F2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D10C8" w14:paraId="32153821" w14:textId="77777777">
        <w:trPr>
          <w:trHeight w:val="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9119E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A241" w14:textId="77777777" w:rsidR="003D10C8" w:rsidRDefault="001331E1" w:rsidP="001331E1">
            <w:pPr>
              <w:pStyle w:val="Standard"/>
            </w:pPr>
            <w:r>
              <w:rPr>
                <w:rFonts w:ascii="Arial" w:hAnsi="Arial" w:cs="Arial"/>
              </w:rPr>
              <w:t xml:space="preserve">Gli ulteriori documenti di gara previsti dall’articolo 165 sono presenti? </w:t>
            </w:r>
            <w:r>
              <w:rPr>
                <w:rFonts w:ascii="Arial" w:hAnsi="Arial" w:cs="Arial"/>
                <w:lang w:val="it-IT"/>
              </w:rPr>
              <w:t>(PEF,…)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E78E0" w14:textId="77777777" w:rsidR="003D10C8" w:rsidRDefault="003D10C8">
            <w:pPr>
              <w:pStyle w:val="Standard"/>
              <w:snapToGrid w:val="0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FD40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731716F0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655"/>
        <w:gridCol w:w="1276"/>
        <w:gridCol w:w="4783"/>
      </w:tblGrid>
      <w:tr w:rsidR="003D10C8" w14:paraId="1EA65C1F" w14:textId="7777777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7E3EE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00D49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Pubblicazione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6B9B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129EFB18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37CC4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D10C8" w14:paraId="48D5C934" w14:textId="77777777">
        <w:trPr>
          <w:trHeight w:val="7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8E0E8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27B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L'avviso di gara è stato pubblicato sulla GUUE, sulla GURI, sulla GUCE, sui giornali nazionali, sul sito istituzionale?</w:t>
            </w:r>
          </w:p>
          <w:p w14:paraId="2785154F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F4746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E1E87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gli estremi dei documenti di pubblicazione</w:t>
            </w:r>
          </w:p>
        </w:tc>
      </w:tr>
      <w:tr w:rsidR="003D10C8" w14:paraId="5677F7A5" w14:textId="77777777">
        <w:trPr>
          <w:trHeight w:val="97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4B784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124D0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color w:val="000000"/>
                <w:lang w:val="it-IT"/>
              </w:rPr>
              <w:t>Nel caso siano intervenute modifiche al Bando di gara, la stazione appaltante ha pubblicizzato le rettifiche con le medesime modalità procedurali adottate per la pubblicizzazione del bando?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DFB9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4991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1D0E5186" w14:textId="77777777">
        <w:trPr>
          <w:trHeight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4691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1E6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le modalità per ricevere eventuali informazioni supplementari e/o chiarimenti e le modalità per fornire le risposte?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0BB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45F4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2F5A3E45" w14:textId="7777777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A37C7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AACAE" w14:textId="77777777" w:rsidR="003D10C8" w:rsidRDefault="001331E1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Sono state richieste informazioni supplementari dai partecipanti sulla presente </w:t>
            </w:r>
            <w:r>
              <w:rPr>
                <w:rFonts w:ascii="Arial" w:hAnsi="Arial" w:cs="Arial"/>
                <w:bCs/>
                <w:lang w:val="it-IT"/>
              </w:rPr>
              <w:lastRenderedPageBreak/>
              <w:t>procedura?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F4B7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E7C7A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  <w:tr w:rsidR="003D10C8" w14:paraId="05268539" w14:textId="7777777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3B0C3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0FE8E" w14:textId="77777777" w:rsidR="003D10C8" w:rsidRDefault="001331E1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Le informazioni supplementari sono state pubblicizzate?</w:t>
            </w:r>
          </w:p>
          <w:p w14:paraId="73E285FE" w14:textId="77777777" w:rsidR="003D10C8" w:rsidRDefault="003D10C8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B5D94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1DDCC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31D19255" w14:textId="77777777" w:rsidR="001331E1" w:rsidRDefault="001331E1">
      <w:pPr>
        <w:rPr>
          <w:vanish/>
        </w:rPr>
        <w:sectPr w:rsidR="001331E1">
          <w:footerReference w:type="default" r:id="rId11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7540"/>
        <w:gridCol w:w="1276"/>
        <w:gridCol w:w="4783"/>
      </w:tblGrid>
      <w:tr w:rsidR="003D10C8" w14:paraId="582A8689" w14:textId="77777777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78A50" w14:textId="77777777" w:rsidR="003D10C8" w:rsidRDefault="001331E1">
            <w:pPr>
              <w:pStyle w:val="Standard"/>
              <w:jc w:val="right"/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20B30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Procedura di gara utilizzata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3E809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18C97292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D0D0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373F91F4" w14:textId="77777777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154D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6328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la procedura di gara utilizzata:</w:t>
            </w:r>
          </w:p>
          <w:p w14:paraId="4B5CE26C" w14:textId="77777777" w:rsidR="003D10C8" w:rsidRDefault="001331E1">
            <w:pPr>
              <w:pStyle w:val="Standard"/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aperta di cui all’art. 60 del D.Lgs 50/2016</w:t>
            </w:r>
          </w:p>
          <w:p w14:paraId="4567155D" w14:textId="77777777" w:rsidR="003D10C8" w:rsidRDefault="001331E1">
            <w:pPr>
              <w:pStyle w:val="Standard"/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ristretta di cui all’art. 61 del D.Lgs 50/2016</w:t>
            </w:r>
          </w:p>
          <w:p w14:paraId="1EAB593E" w14:textId="77777777" w:rsidR="003D10C8" w:rsidRDefault="001331E1">
            <w:pPr>
              <w:pStyle w:val="Standard"/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competitiva con negoziazione di cui all’art. 62 del D.Lgs 50/2016</w:t>
            </w:r>
          </w:p>
          <w:p w14:paraId="2E8B6BCD" w14:textId="77777777" w:rsidR="003D10C8" w:rsidRDefault="001331E1">
            <w:pPr>
              <w:pStyle w:val="Standard"/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Procedura negoziata senza previa pubblicizzazione di un bando di gara di cui </w:t>
            </w:r>
          </w:p>
          <w:p w14:paraId="35B36DDE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     all’art. 63 del D.Lgs 50/2016</w:t>
            </w:r>
          </w:p>
          <w:p w14:paraId="3F8AA1AF" w14:textId="77777777" w:rsidR="003D10C8" w:rsidRDefault="001331E1">
            <w:pPr>
              <w:pStyle w:val="Standard"/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Dialogo competitivo di cui all’art. 64 del D.Lgs 50/2016</w:t>
            </w:r>
          </w:p>
          <w:p w14:paraId="44698DB7" w14:textId="77777777" w:rsidR="003D10C8" w:rsidRDefault="001331E1">
            <w:pPr>
              <w:pStyle w:val="Standard"/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Partenariato per l’innovazione di cui all’art. 65 del D.Lgs 50/2016</w:t>
            </w:r>
          </w:p>
          <w:p w14:paraId="206E88D6" w14:textId="77777777" w:rsidR="003D10C8" w:rsidRDefault="003D10C8">
            <w:pPr>
              <w:pStyle w:val="Standard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44E0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2965F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sia stata utilizzata una procedura negoziata senza previa pubblicizzazione di un bando di gara, si rimanda alla compilazione della relativa checklist  </w:t>
            </w:r>
          </w:p>
        </w:tc>
      </w:tr>
      <w:tr w:rsidR="003D10C8" w14:paraId="35F98140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F1682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F3D09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2AF56AD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non sia stata utilizzata una procedura aperta o ristretta, la stazione appaltante ha fornito le motivazioni per la scelta operata?</w:t>
            </w:r>
          </w:p>
          <w:p w14:paraId="2411B65E" w14:textId="77777777" w:rsidR="003D10C8" w:rsidRDefault="003D10C8">
            <w:pPr>
              <w:pStyle w:val="Standard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E075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BA018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34F54801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477F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3A56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domande o delle offerte sono stati rispettati?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D718D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A2835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EC48EE1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82488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E4AE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nel caso di procedura ristretta: è stato previsto il termine minimo per la presentazione delle offerte, sono state rispettate le condizioni di cui all’art. 61 comma 4 lett a) e b) del D.lgs 50/2016</w:t>
            </w:r>
          </w:p>
          <w:p w14:paraId="3C8C3D0F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F4AA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D412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3E4DA0AD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A2D7F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3.5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0403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motivi di urgenza,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C917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4618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40E3A180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EEA1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3.6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471E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aperta, è stato rispettato il termine di cui all’art. 60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27578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17288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7F50E39E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77A06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3.7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11FCE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ristretta, sono stati rispettati i termini minimi di ricezione delle domande di partecipazione o di ricezione delle offerte, secondo le modalità di cui all’art. 61 comma 6 lett.a) e b)?</w:t>
            </w:r>
          </w:p>
          <w:p w14:paraId="75BE03C4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35F8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58D0C" w14:textId="77777777" w:rsidR="003D10C8" w:rsidRPr="00EF3541" w:rsidRDefault="001331E1">
            <w:pPr>
              <w:pStyle w:val="Standard"/>
              <w:snapToGrid w:val="0"/>
            </w:pPr>
            <w:r w:rsidRPr="00EF3541">
              <w:rPr>
                <w:rFonts w:ascii="Arial" w:hAnsi="Arial" w:cs="Arial"/>
                <w:lang w:val="it-IT"/>
              </w:rPr>
              <w:t>Quando per motivi di urgenza debitamente motivati</w:t>
            </w:r>
          </w:p>
        </w:tc>
      </w:tr>
      <w:tr w:rsidR="003D10C8" w14:paraId="4DFA64B5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1191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3.8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3DA8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competitiva con negoziazione, sono stati rispettati i termini per la ricezione delle offerte iniziali di cui all’art. 62 comma 5?</w:t>
            </w:r>
          </w:p>
          <w:p w14:paraId="1EC3CB6F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018F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BC6E6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6DCBD048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65709" w14:textId="77777777" w:rsidR="003D10C8" w:rsidRDefault="001331E1">
            <w:pPr>
              <w:pStyle w:val="Standard"/>
              <w:jc w:val="right"/>
            </w:pPr>
            <w:r>
              <w:rPr>
                <w:rFonts w:ascii="Arial" w:hAnsi="Arial" w:cs="Arial"/>
                <w:lang w:val="it-IT"/>
              </w:rPr>
              <w:t>3.9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5C19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dialogo competitivo, sono stati rispettati i termini minimi per la ricezione delle domande o di ricezione delle offerte, secondo le modalità di cui all’art. 64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0CF7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F91D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2918435F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25903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3.10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D8F7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di partenariato per l’innovazione, sono stati rispettati i termini minimi per la </w:t>
            </w:r>
            <w:r>
              <w:rPr>
                <w:rFonts w:ascii="Arial" w:hAnsi="Arial" w:cs="Arial"/>
                <w:lang w:val="it-IT"/>
              </w:rPr>
              <w:lastRenderedPageBreak/>
              <w:t>ricezione delle domande o di ricezione delle offerte, secondo le modalità di cui all’art. 65 comma 4?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6D8F3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DA5A3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 e indicare la pagina </w:t>
            </w:r>
            <w:r>
              <w:rPr>
                <w:rFonts w:ascii="Arial" w:hAnsi="Arial" w:cs="Arial"/>
                <w:lang w:val="it-IT"/>
              </w:rPr>
              <w:lastRenderedPageBreak/>
              <w:t>pertinente</w:t>
            </w:r>
          </w:p>
        </w:tc>
      </w:tr>
      <w:tr w:rsidR="003D10C8" w14:paraId="03E8504C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5AB2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3.11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D279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offerte sono stati prorogati?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3DBC3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2ABDF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1030BF8B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D35A0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EEF9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la proroga: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B9F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F0D5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4FB4DE11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FCA8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3.11.a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9859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Rientra tra i casi di cui all’art. 79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77D93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94A5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66EC1390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80771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3.11.b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26F0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sono stati rispettati i termini per le comunicazioni agli offerenti?</w:t>
            </w:r>
          </w:p>
          <w:p w14:paraId="3369B4AF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57B4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86874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2192C49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6B09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1E51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L’appalto è stato suddiviso in lotti?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DFB9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8D893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62D44B89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4BECA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8362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2702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56EB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77362394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2C2A1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3.12.a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57A1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mancata suddivisione è stata motivata?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9DB8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7AB5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7C6A6A92" w14:textId="77777777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DCF3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3.12.b 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C3D9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 specificano per quali lotti possono essere presentate le offerte?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4295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CE9E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</w:tbl>
    <w:p w14:paraId="198767E4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7AA94B40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783"/>
      </w:tblGrid>
      <w:tr w:rsidR="003D10C8" w14:paraId="6F8C14E0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C3A5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67247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di gara: apertura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ABF65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E1D68F9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0E5C9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D10C8" w14:paraId="256A222C" w14:textId="77777777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9D2CD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9055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stata formalizzata la nomina della Commissione giudicatrice secondo le modalità di cui all'art. 77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F3F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E23A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34A0ABA5" w14:textId="77777777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DB27F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9B0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stazione appaltante ha verificato che il RUP non ha rivestito il ruolo di commissario di gara e di Presidente della Commissione giudicatrice? </w:t>
            </w:r>
            <w:r>
              <w:rPr>
                <w:rFonts w:ascii="Arial" w:hAnsi="Arial" w:cs="Arial"/>
                <w:lang w:val="it-IT"/>
              </w:rPr>
              <w:br/>
              <w:t>Nel caso, la nomina del RUP a membro delle commissioni di gara è stata valutata con riferimento alla singola procedura?</w:t>
            </w:r>
          </w:p>
          <w:p w14:paraId="11398D80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D.Lgs 50/2016, art. 77, comma 4 </w:t>
            </w:r>
            <w:r>
              <w:rPr>
                <w:rFonts w:ascii="Arial" w:hAnsi="Arial" w:cs="Arial"/>
                <w:lang w:val="it-IT"/>
              </w:rPr>
              <w:br/>
              <w:t>Linea Guida ANAC n. 3</w:t>
            </w:r>
            <w:r>
              <w:rPr>
                <w:rFonts w:ascii="Arial" w:hAnsi="Arial" w:cs="Arial"/>
                <w:lang w:val="it-IT"/>
              </w:rPr>
              <w:br/>
              <w:t>(Disposizione modificata con D.lgs. 56/2017)</w:t>
            </w:r>
          </w:p>
          <w:p w14:paraId="67F62A2F" w14:textId="77777777" w:rsidR="003D10C8" w:rsidRDefault="003D10C8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D403D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644F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6F28E49C" w14:textId="77777777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B2B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5947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ricevute sono state protocollate?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D2A04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1A94D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23BAF53C" w14:textId="7777777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71542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73DB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  <w:p w14:paraId="69E6C2C2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784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5E40E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AF085F7" w14:textId="77777777">
        <w:trPr>
          <w:trHeight w:val="6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EB3EC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4.5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9364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34D6D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E4B6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0CA2B6EB" w14:textId="77777777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027C2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DFF3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90FAB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FB46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536727E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4D2F8E1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3233E81C" w14:textId="77777777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00D6B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F969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EF96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0C5B" w14:textId="77777777" w:rsidR="003D10C8" w:rsidRDefault="003D10C8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3D10C8" w14:paraId="260FB818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46F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B9F44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9C140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7B460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3D10C8" w14:paraId="03DDAD3C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635CD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AE57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11670" w14:textId="77777777" w:rsidR="003D10C8" w:rsidRDefault="003D10C8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6A03A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3D10C8" w14:paraId="52D944AE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B9A4E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B956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0507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AAA6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3D10C8" w14:paraId="093F7924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CB7D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51A14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57F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A8650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 /i verbale/i di gara</w:t>
            </w:r>
          </w:p>
        </w:tc>
      </w:tr>
    </w:tbl>
    <w:p w14:paraId="631717E4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07FC806A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7508"/>
        <w:gridCol w:w="1288"/>
        <w:gridCol w:w="4775"/>
      </w:tblGrid>
      <w:tr w:rsidR="003D10C8" w14:paraId="1A0EF3DA" w14:textId="77777777">
        <w:trPr>
          <w:trHeight w:val="6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71C46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4AB5B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selezione e di aggiudicazione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E9AB3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53519A4B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9243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79EC9A4C" w14:textId="77777777">
        <w:trPr>
          <w:trHeight w:val="5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A991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F026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pervenute sono state esaminate?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1F3D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42282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3DB555BC" w14:textId="77777777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58A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E1965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verificato che i candidati risultano essere in possesso dei requisiti di ordine generale di cui all’art. 80 del D.Lgs 50/2016?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114E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BBA42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D70FB1A" w14:textId="77777777">
        <w:trPr>
          <w:trHeight w:val="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6EC61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7325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verificato che i candidati risultano essere in possesso dei requisiti di ordine speciale di cui all’art. 83 del D.Lgs 50/2016?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2D2B3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A0579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34C831B6" w14:textId="77777777">
        <w:trPr>
          <w:trHeight w:val="838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DEFF0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 xml:space="preserve">  5.4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7558" w14:textId="77777777" w:rsidR="003D10C8" w:rsidRDefault="001331E1"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La documentazione di gara prevede l’utilizzo dell’avvalimento ai sensi dell’art. 89 del D.Lgs 50/2016?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4A2CA" w14:textId="77777777" w:rsidR="003D10C8" w:rsidRDefault="003D10C8">
            <w:pPr>
              <w:pStyle w:val="Standard"/>
              <w:snapToGrid w:val="0"/>
              <w:rPr>
                <w:lang w:val="it-IT"/>
              </w:rPr>
            </w:pP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5E67D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5BACDBFA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E6F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44F06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Sono stati utilizzati dei criteri discriminatori, non pertinenti o non proporzionali all’oggetto della gara nella fase di selezione?(es. su base geografica)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8632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F3E8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4E0AB3EF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FF7B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DE8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dell’offerta, nella procedura di aggiudicazione, sono conformi ai criteri pubblicati nel bando?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CB47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43323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C14E17F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5B929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0B7F" w14:textId="77777777" w:rsidR="003D10C8" w:rsidRDefault="001331E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Nell'offerta economica sono riportati i costi della manodopera e gli oneri aziendali concernenti gli adempimenti in materia di salute e di sicurezza sul lavoro?</w:t>
            </w:r>
          </w:p>
          <w:p w14:paraId="426EEA6B" w14:textId="77777777" w:rsidR="003D10C8" w:rsidRDefault="001331E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Lgs. 50/2016, art. 95, comma 10 </w:t>
            </w:r>
          </w:p>
          <w:p w14:paraId="3423D84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 56/2017)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CC14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ED3EB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FE1D72F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B9A2E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B6C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aggiudicato sulla base dell'offerta economicamente più vantaggiosa?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E782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4998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5D4A4652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90071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A4C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22D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3C98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1C09B122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88CFD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5.7.a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5672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prezzo qualità/prezzo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41C1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56F3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0FF9431F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D38BF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5.7.b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6D79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Comparazione costi/efficacia (costo del ciclo di vita)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9C4B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DCE1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537C1C87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0B72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5.7.c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F4A8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B047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6565D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72FE4EE5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52B7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510FE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dalla documentazione di gara si evince: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9CA4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2A05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74165C88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59BDB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8F35B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CB8E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D933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7C6C3DC7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B14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b.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61C4E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8AD8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1CE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7095EB57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AEB29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C651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2C6E7A4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 56/2017)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67AC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0A426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73DA6132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268E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95D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28366C7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 56/2017)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B62B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87E84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3D10C8" w14:paraId="3D32C094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FB3CD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1840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il contratto è stato aggiudicato sulla base del minor prezzo, i lavori oggetto della procedura rispettano quanto previsto dall’art. 95 comma 4 lett.a)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3087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883BE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265BA107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2BC3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B6AA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motivazioni per tutte le decisioni prese dalla commissione di gara e la procedura di aggiudicazione è stata interamente documentata?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6D53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9AE2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3C4A2B41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D439D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5.10 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AF1B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le griglie dei coefficienti valutativi come previsto dal disciplinare di gara?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58D2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5E68B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0FC561F5" w14:textId="77777777">
        <w:trPr>
          <w:trHeight w:val="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A1E67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1B53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errori, sono state apportate correzioni alle offerte?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E2B0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5AC8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71B066B5" w14:textId="77777777">
        <w:trPr>
          <w:trHeight w:val="8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BA96E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FA7FE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dell'art. 97 comma 2 del D.Lgs 50/2016 (“offerte anomale”)?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C9C9B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0BE4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 </w:t>
            </w:r>
          </w:p>
        </w:tc>
      </w:tr>
      <w:tr w:rsidR="003D10C8" w14:paraId="2E5BE819" w14:textId="77777777">
        <w:trPr>
          <w:trHeight w:val="8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12172" w14:textId="77777777" w:rsidR="003D10C8" w:rsidRDefault="003D10C8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D747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 verificare i seguenti aspetti: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B6F8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13785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D10C8" w14:paraId="0C17BA4E" w14:textId="77777777">
        <w:trPr>
          <w:trHeight w:val="8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C77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5.12.a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73B61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DBF5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7B44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  <w:p w14:paraId="65BFD9E9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 </w:t>
            </w:r>
          </w:p>
        </w:tc>
      </w:tr>
      <w:tr w:rsidR="003D10C8" w14:paraId="112A95E7" w14:textId="77777777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0314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5.12.b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9C758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153D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9FC8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58E27E4B" w14:textId="77777777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568E1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5.13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54EC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la proposta di aggiudicazione come previsto dall’art. 33 comma 1 del D.Lgs 50/2016?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C671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95D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16B3ED7C" w14:textId="77777777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D76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5.14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AF07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il provvedimento di aggiudicazione definitiva?</w:t>
            </w:r>
          </w:p>
          <w:p w14:paraId="5828F175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ED9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B79E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3F766E65" w14:textId="77777777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A73A9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3C40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reso pubblico l’esito della gara secondo quanto stabilito nel bando di gara e nel rispetto dell’art. 76 del D.lgs 50/2016?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526A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7A44A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  <w:tr w:rsidR="003D10C8" w14:paraId="45777CE7" w14:textId="77777777">
        <w:trPr>
          <w:trHeight w:val="51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5E56B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13B5" w14:textId="77777777" w:rsidR="003D10C8" w:rsidRDefault="001331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I risultati della procedura dell'aggiudicazione sono stati pubblicati secondo le modalità di cui all'art. 72 del D.Lgs. 50/2016 entro trenta giorni dalla conclusione del contratto o dalla conclusione dell'accordo quadro?</w:t>
            </w:r>
          </w:p>
          <w:p w14:paraId="64D3FEC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D.Lgs. 50/2016, art. 98, comma 1 </w:t>
            </w:r>
          </w:p>
          <w:p w14:paraId="33E264E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68DE6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E741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13FF83C3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4C6E7B26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3D10C8" w14:paraId="4A8EDA52" w14:textId="77777777" w:rsidTr="00494F65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73A32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5E65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Subappalto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1EE15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5587679B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E863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60F8E179" w14:textId="77777777" w:rsidTr="00494F65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A516E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DA67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17B6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82464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494F65" w14:paraId="14044CDB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ED44B" w14:textId="77777777" w:rsidR="00494F65" w:rsidRDefault="00494F65" w:rsidP="00494F65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2C51" w14:textId="77777777" w:rsidR="00494F65" w:rsidRPr="00EF3541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  <w:r w:rsidRPr="00EF3541">
              <w:rPr>
                <w:rFonts w:ascii="Arial" w:hAnsi="Arial" w:cs="Arial"/>
                <w:lang w:val="it-IT"/>
              </w:rPr>
              <w:t xml:space="preserve">Tale previsione rimanda all’art. 105 del codice dei contratti? </w:t>
            </w:r>
          </w:p>
          <w:p w14:paraId="38D80EEB" w14:textId="77777777" w:rsidR="00494F65" w:rsidRPr="00EF3541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53C13200" w14:textId="77777777" w:rsidR="00494F65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801AB" w14:textId="77777777" w:rsidR="00494F65" w:rsidRDefault="00494F65" w:rsidP="00494F6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4C488" w14:textId="2CBBF29B" w:rsidR="00494F65" w:rsidRDefault="00930AB3" w:rsidP="00494F6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494F65" w14:paraId="7E06B304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530EC" w14:textId="77777777" w:rsidR="00494F65" w:rsidRDefault="00494F65" w:rsidP="00494F65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28C86" w14:textId="77777777" w:rsidR="00494F65" w:rsidRPr="00EF3541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  <w:r w:rsidRPr="00EF3541">
              <w:rPr>
                <w:rFonts w:ascii="Arial" w:hAnsi="Arial" w:cs="Arial"/>
                <w:lang w:val="it-IT"/>
              </w:rPr>
              <w:t>Il limite di ricorso al subappalto è circoscritto ad una determinata percentuale?</w:t>
            </w:r>
          </w:p>
          <w:p w14:paraId="6C45D2C2" w14:textId="77777777" w:rsidR="00494F65" w:rsidRPr="00EF3541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4DB353C3" w14:textId="77777777" w:rsidR="00494F65" w:rsidRDefault="00494F65" w:rsidP="00EF3541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14045" w14:textId="77777777" w:rsidR="00494F65" w:rsidRDefault="00494F65" w:rsidP="00494F6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B8E81" w14:textId="77777777" w:rsidR="00494F65" w:rsidRDefault="00494F65" w:rsidP="00494F6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quale %</w:t>
            </w:r>
          </w:p>
        </w:tc>
      </w:tr>
      <w:tr w:rsidR="0088469F" w14:paraId="538AF822" w14:textId="77777777" w:rsidTr="0088469F">
        <w:trPr>
          <w:trHeight w:val="15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E9D95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04427" w14:textId="77777777" w:rsidR="0088469F" w:rsidRPr="00EF3541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 w:rsidRPr="00EF3541">
              <w:rPr>
                <w:rFonts w:ascii="Arial" w:hAnsi="Arial" w:cs="Arial"/>
                <w:lang w:val="it-IT"/>
              </w:rPr>
              <w:t xml:space="preserve">Tale limite è giustificato dalla stazione appaltante con apposita motivazione collegata allo specifico appalto? </w:t>
            </w:r>
          </w:p>
          <w:p w14:paraId="1C038302" w14:textId="77777777" w:rsidR="0088469F" w:rsidRPr="00EF3541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4DC59A59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F3222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3081C" w14:textId="33CC5065" w:rsidR="0088469F" w:rsidRPr="0088469F" w:rsidRDefault="0088469F" w:rsidP="0088469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88469F">
              <w:rPr>
                <w:rFonts w:ascii="Arial" w:hAnsi="Arial" w:cs="Arial"/>
                <w:b/>
                <w:bCs/>
                <w:lang w:val="it-IT"/>
              </w:rPr>
              <w:t>L’Allegato 1 alla Decisione della Commissione Europea n. 3452/2019 del 14/5/2019 applica alla limitazione ingiustificata dei subappalti, un tasso di rettifica finanziaria del 5% - Tipo di irregolarità N. 13. Rif </w:t>
            </w:r>
            <w:hyperlink r:id="rId12" w:tgtFrame="_blank" w:history="1">
              <w:r w:rsidRPr="0088469F">
                <w:rPr>
                  <w:rFonts w:ascii="Arial" w:hAnsi="Arial" w:cs="Arial"/>
                  <w:b/>
                  <w:bCs/>
                  <w:lang w:val="it-IT"/>
                </w:rPr>
                <w:t>sentenza 26 settembre 2019, causa C-63/18</w:t>
              </w:r>
            </w:hyperlink>
            <w:r w:rsidRPr="0088469F">
              <w:rPr>
                <w:rFonts w:ascii="Arial" w:hAnsi="Arial" w:cs="Arial"/>
                <w:b/>
                <w:bCs/>
                <w:lang w:val="it-IT"/>
              </w:rPr>
              <w:t> e </w:t>
            </w:r>
            <w:hyperlink r:id="rId13" w:tgtFrame="_blank" w:history="1">
              <w:r w:rsidRPr="0088469F">
                <w:rPr>
                  <w:rFonts w:ascii="Arial" w:hAnsi="Arial" w:cs="Arial"/>
                  <w:b/>
                  <w:bCs/>
                  <w:lang w:val="it-IT"/>
                </w:rPr>
                <w:t>sentenza 27 novembre 2019, C-402/18</w:t>
              </w:r>
            </w:hyperlink>
            <w:r w:rsidRPr="0088469F">
              <w:rPr>
                <w:rFonts w:ascii="Arial" w:hAnsi="Arial" w:cs="Arial"/>
                <w:b/>
                <w:bCs/>
                <w:lang w:val="it-IT"/>
              </w:rPr>
              <w:t>.</w:t>
            </w:r>
          </w:p>
        </w:tc>
      </w:tr>
      <w:tr w:rsidR="0088469F" w14:paraId="55B154D9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E01A7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21A37" w14:textId="77777777" w:rsidR="0088469F" w:rsidRPr="00EF3541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 w:rsidRPr="00EF3541">
              <w:rPr>
                <w:rFonts w:ascii="Arial" w:hAnsi="Arial" w:cs="Arial"/>
                <w:lang w:val="it-IT"/>
              </w:rPr>
              <w:t xml:space="preserve">E’ presente un interesse transfrontaliero certo dell’operazione co-finanziata? </w:t>
            </w:r>
          </w:p>
          <w:p w14:paraId="7E6492CF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0FF70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46FC9" w14:textId="4156F023" w:rsidR="0088469F" w:rsidRDefault="00930AB3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484CF3D1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0F927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30B5C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appalti di lavori per i quali non sia necessario una particolare specializzazione, è stato fatto obbligo di indicare una terna di subappaltatori?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7991E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A05CB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1FEAC149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2862C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21961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l’oggetto del lavoro che intende subappaltare?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7E73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3BDF2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46B09D83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5D53B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1E564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presentazione?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A0691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CF55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1C436DC4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75D2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FBADA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prodotto le dichiarazioni dei subappaltatori circa l’assenza dei motivi di esclusione di cui all’art. 80 del D.Lgs 50/2016, nonché le attestazioni del possesso dei requisiti di qualificazione?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01491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1B5AD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2EEF7C51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6A95B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BE7E5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sub-contratti stipulati per l’esecuzione dell’appalto, il contraente ha adempiuto all’obbligo di comunicazione previsto all’art. 174 comma 4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BFBE1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CFB7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88469F" w14:paraId="45DDF22D" w14:textId="77777777" w:rsidTr="00494F65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10B4A" w14:textId="77777777" w:rsidR="0088469F" w:rsidRDefault="0088469F" w:rsidP="0088469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AE3E2" w14:textId="77777777" w:rsidR="0088469F" w:rsidRDefault="0088469F" w:rsidP="0088469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Ricorre una delle ipotesi di indicazione di una terna di subappaltatori ai sensi dell’art. 174 comma 2?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53250" w14:textId="77777777" w:rsidR="0088469F" w:rsidRDefault="0088469F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7FF67" w14:textId="592E5D55" w:rsidR="0088469F" w:rsidRDefault="008E17A5" w:rsidP="0088469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</w:tbl>
    <w:p w14:paraId="6EA0876E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1F78740F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3D10C8" w14:paraId="4A29945E" w14:textId="7777777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928E8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334BB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contratto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ACBDE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02BC6A3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01D8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4949BFC6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DA93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D534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firmato dalla stazione appaltante e dall'appaltatore?</w:t>
            </w:r>
          </w:p>
          <w:p w14:paraId="62C01743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94A5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5E61D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598ED062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EF595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02920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  <w:p w14:paraId="57A67BDA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A421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776A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3423ABDC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D2DE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926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ricorsi, è presente la relativa documentazione?</w:t>
            </w:r>
          </w:p>
          <w:p w14:paraId="0E9BDFC0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38A51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DF66F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la documentazione relativa</w:t>
            </w:r>
          </w:p>
        </w:tc>
      </w:tr>
      <w:tr w:rsidR="003D10C8" w14:paraId="4C5C965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DED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396C" w14:textId="77777777" w:rsidR="003D10C8" w:rsidRDefault="001331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 capitolati e il computo estimativo metrico, richiamati nel bando o nell'invito, fanno parte integrante del contratto?</w:t>
            </w:r>
          </w:p>
          <w:p w14:paraId="2FB5B11D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D.Lgs. 50/2016, art. 32, comma 14bis</w:t>
            </w:r>
          </w:p>
          <w:p w14:paraId="685866F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(Disposizione modificata dal D.Lgs. 56/2017)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241B6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F96E5" w14:textId="62BF76CB" w:rsidR="003D10C8" w:rsidRDefault="008E17A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</w:tbl>
    <w:p w14:paraId="1701A9C8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p w14:paraId="35DB2D62" w14:textId="77777777" w:rsidR="003D10C8" w:rsidRDefault="003D10C8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3D10C8" w14:paraId="2C5C4ECC" w14:textId="77777777">
        <w:trPr>
          <w:trHeight w:val="3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C645" w14:textId="77777777" w:rsidR="003D10C8" w:rsidRDefault="001331E1">
            <w:pPr>
              <w:pStyle w:val="Standard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B0B5A" w14:textId="77777777" w:rsidR="003D10C8" w:rsidRDefault="001331E1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Esecuzione del contratto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F3DB6" w14:textId="77777777" w:rsidR="003D10C8" w:rsidRDefault="001331E1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642F2391" w14:textId="77777777" w:rsidR="003D10C8" w:rsidRDefault="001331E1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513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7B153664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7BB5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645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nominato il Direttore dei Lavori e il Coordinatore della sicurezza?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4D570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D0B3F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D10C8" w14:paraId="3FD8CA3B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4979B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90A1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concessionario o il (partner privato) ha rispettato gli obblighi contrattuali?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627F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9283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0160795C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03C2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430E0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BD8B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B51D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D10C8" w14:paraId="6A1CA15D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C6B60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0417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D795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76F7B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D10C8" w14:paraId="664ABAC2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76B43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ADA8F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6509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3CFE2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D10C8" w14:paraId="1D374526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BA461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DF96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5A7E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82244" w14:textId="77777777" w:rsidR="003D10C8" w:rsidRDefault="001331E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16216FAC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4905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2CCD2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i lavori supplementari, sono state rispettate le condizioni di cui all’art. 175 comma 1 lett.b)?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88582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914F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6968251E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5E98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F9C5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modifiche dovute a circostanze impreviste e imprevedibili, sono state rispettate le condizioni di cui all’art.175 comma 1 lett.c)?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9B05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FC9A9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5A96C9EC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4F019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BE71E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nuovo contraente sono state rispettate le condizioni di cui all’art.175 comma 1 lett.d)?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E434A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83C1C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6B95015E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D5513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59AC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non sono sostanziali, ai sensi dell’ art. 175 comma 1 lett.e)?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FE58A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5B4C7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13D03483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27380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5D52F" w14:textId="77777777" w:rsidR="003D10C8" w:rsidRDefault="001331E1">
            <w:p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Il contratto è stato modificato, senza necessità di una nuova procedura di gara, nel rispetto delle seguenti soglie: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▪</w:t>
            </w:r>
            <w:r>
              <w:rPr>
                <w:rFonts w:ascii="Arial" w:hAnsi="Arial" w:cs="Arial"/>
                <w:sz w:val="20"/>
                <w:szCs w:val="20"/>
              </w:rPr>
              <w:t xml:space="preserve"> il valore delle modifiche è al di sotto delle soglie di cui all'art. 35 e non supera il 10% del valore iniziale del contratto?</w:t>
            </w:r>
          </w:p>
          <w:p w14:paraId="3F004431" w14:textId="77777777" w:rsidR="003D10C8" w:rsidRDefault="001331E1">
            <w:pPr>
              <w:suppressAutoHyphens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D.Lgs. 50/2016, art. 175 comma4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4D6A8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BB01D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3C35873D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B2F40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083CA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CB88B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0965F" w14:textId="77777777" w:rsidR="003D10C8" w:rsidRDefault="003D10C8">
            <w:pPr>
              <w:pStyle w:val="Standard"/>
              <w:rPr>
                <w:lang w:val="it-IT"/>
              </w:rPr>
            </w:pPr>
          </w:p>
        </w:tc>
      </w:tr>
      <w:tr w:rsidR="003D10C8" w14:paraId="01B97B7C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208FF" w14:textId="77777777" w:rsidR="003D10C8" w:rsidRDefault="003D10C8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16A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29E07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52857" w14:textId="77777777" w:rsidR="003D10C8" w:rsidRDefault="003D10C8">
            <w:pPr>
              <w:pStyle w:val="Standard"/>
            </w:pPr>
          </w:p>
        </w:tc>
      </w:tr>
      <w:tr w:rsidR="003D10C8" w14:paraId="64F5E753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EA7C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77D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4F11D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2B63D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48F225C7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83896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FBFB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B890F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5BE4B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5C275B84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017AA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9C76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7548C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37E76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D10C8" w14:paraId="5BE16F92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ED14F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B54B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E’ presente il Collaudo Finale come previsto all’art. 102 del D.Lgs 50/2016?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7BFCE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3F91" w14:textId="77777777" w:rsidR="003D10C8" w:rsidRDefault="001331E1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  <w:tr w:rsidR="003D10C8" w14:paraId="4F73F4C1" w14:textId="77777777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22255" w14:textId="77777777" w:rsidR="003D10C8" w:rsidRDefault="001331E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BFF1C" w14:textId="77777777" w:rsidR="003D10C8" w:rsidRDefault="001331E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L'incaricato del collaudo è stato nominato dalla Stazione appaltante tra i propri dipendenti o dipendenti di altre Amministrazioni con qualificazione rapportata alla tipologia e caratteristiche del contratto e in possesso dei requisiti di moralità, competenza e professionalità e dell'iscrizione all'albo dei collaudatori nazionale o regionale?</w:t>
            </w:r>
            <w:r>
              <w:rPr>
                <w:rFonts w:ascii="Arial" w:hAnsi="Arial" w:cs="Arial"/>
                <w:lang w:val="it-IT"/>
              </w:rPr>
              <w:br/>
              <w:t>Verificare che nell'atto di nomina sia specificato che il soggetto incaricato possiede i requisiti previsti dall'art. 102 del D.Lgs. 50/2016</w:t>
            </w:r>
          </w:p>
          <w:p w14:paraId="1B267BC3" w14:textId="77777777" w:rsidR="003D10C8" w:rsidRDefault="001331E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D.Lgs 50/2016, art. 102, comma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(Disposizione modificata dal D.lgs. 56/2017)</w:t>
            </w:r>
          </w:p>
          <w:p w14:paraId="2E66B039" w14:textId="77777777" w:rsidR="003D10C8" w:rsidRDefault="003D10C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34004" w14:textId="77777777" w:rsidR="003D10C8" w:rsidRDefault="003D10C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BB3F8" w14:textId="77777777" w:rsidR="003D10C8" w:rsidRDefault="003D10C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</w:tbl>
    <w:p w14:paraId="2E816AC7" w14:textId="77777777" w:rsidR="003D10C8" w:rsidRDefault="003D10C8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sectPr w:rsidR="003D10C8">
      <w:headerReference w:type="default" r:id="rId14"/>
      <w:footerReference w:type="default" r:id="rId15"/>
      <w:pgSz w:w="16838" w:h="11906" w:orient="landscape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A6AA" w14:textId="77777777" w:rsidR="00EA3DD7" w:rsidRDefault="00EA3DD7">
      <w:r>
        <w:separator/>
      </w:r>
    </w:p>
  </w:endnote>
  <w:endnote w:type="continuationSeparator" w:id="0">
    <w:p w14:paraId="3AAF4CCF" w14:textId="77777777" w:rsidR="00EA3DD7" w:rsidRDefault="00EA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EF23" w14:textId="3F0D7D91" w:rsidR="001331E1" w:rsidRDefault="00657FC7" w:rsidP="00657FC7">
    <w:pPr>
      <w:pStyle w:val="Pidipagina"/>
      <w:tabs>
        <w:tab w:val="clear" w:pos="4819"/>
        <w:tab w:val="clear" w:pos="9638"/>
        <w:tab w:val="center" w:pos="7143"/>
        <w:tab w:val="right" w:pos="14286"/>
      </w:tabs>
      <w:jc w:val="center"/>
      <w:rPr>
        <w:rFonts w:ascii="Arial" w:hAnsi="Arial" w:cs="Arial"/>
      </w:rPr>
    </w:pPr>
    <w:r>
      <w:rPr>
        <w:rFonts w:ascii="Arial" w:hAnsi="Arial" w:cs="Arial"/>
      </w:rPr>
      <w:t>Versione settembre 2021</w:t>
    </w:r>
    <w:r w:rsidRPr="00657FC7">
      <w:rPr>
        <w:rFonts w:ascii="Arial" w:hAnsi="Arial" w:cs="Arial"/>
      </w:rPr>
      <w:tab/>
    </w:r>
    <w:r>
      <w:t xml:space="preserve">D.Lgs 50/2016 aggiornato al D.Lgs 56/2017 </w:t>
    </w:r>
    <w:r w:rsidRPr="00657FC7">
      <w:rPr>
        <w:rFonts w:ascii="Arial" w:hAnsi="Arial" w:cs="Arial"/>
      </w:rPr>
      <w:tab/>
    </w:r>
    <w:r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93F4" w14:textId="77777777" w:rsidR="001331E1" w:rsidRDefault="001331E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B7F31">
      <w:rPr>
        <w:noProof/>
      </w:rPr>
      <w:t>12</w:t>
    </w:r>
    <w:r>
      <w:fldChar w:fldCharType="end"/>
    </w:r>
  </w:p>
  <w:p w14:paraId="4B2DDC1E" w14:textId="77777777" w:rsidR="001331E1" w:rsidRDefault="001331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DBD1" w14:textId="77777777" w:rsidR="00EA3DD7" w:rsidRDefault="00EA3DD7">
      <w:r>
        <w:rPr>
          <w:color w:val="000000"/>
        </w:rPr>
        <w:separator/>
      </w:r>
    </w:p>
  </w:footnote>
  <w:footnote w:type="continuationSeparator" w:id="0">
    <w:p w14:paraId="09BF53F3" w14:textId="77777777" w:rsidR="00EA3DD7" w:rsidRDefault="00EA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5929" w14:textId="77777777" w:rsidR="001331E1" w:rsidRDefault="001331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A5F"/>
    <w:multiLevelType w:val="multilevel"/>
    <w:tmpl w:val="B98E23D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F530653"/>
    <w:multiLevelType w:val="multilevel"/>
    <w:tmpl w:val="B8FE6F5C"/>
    <w:styleLink w:val="WW8Num2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881CB7"/>
    <w:multiLevelType w:val="multilevel"/>
    <w:tmpl w:val="8DA8E10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41D60F6"/>
    <w:multiLevelType w:val="multilevel"/>
    <w:tmpl w:val="2190E114"/>
    <w:styleLink w:val="WW8Num21"/>
    <w:lvl w:ilvl="0">
      <w:numFmt w:val="bullet"/>
      <w:lvlText w:val=""/>
      <w:lvlJc w:val="left"/>
      <w:pPr>
        <w:ind w:left="445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7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47B"/>
    <w:multiLevelType w:val="multilevel"/>
    <w:tmpl w:val="48F2F12A"/>
    <w:styleLink w:val="WW8Num2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□"/>
      <w:lvlJc w:val="left"/>
      <w:pPr>
        <w:ind w:left="1213" w:hanging="360"/>
      </w:pPr>
      <w:rPr>
        <w:rFonts w:ascii="Courier New" w:hAnsi="Courier New" w:cs="Courier New"/>
        <w:sz w:val="28"/>
      </w:rPr>
    </w:lvl>
    <w:lvl w:ilvl="2">
      <w:numFmt w:val="bullet"/>
      <w:lvlText w:val=""/>
      <w:lvlJc w:val="left"/>
      <w:pPr>
        <w:ind w:left="2217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5" w15:restartNumberingAfterBreak="0">
    <w:nsid w:val="1C731B2E"/>
    <w:multiLevelType w:val="multilevel"/>
    <w:tmpl w:val="DAD25D5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E765543"/>
    <w:multiLevelType w:val="multilevel"/>
    <w:tmpl w:val="4C56F22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2FF379E"/>
    <w:multiLevelType w:val="multilevel"/>
    <w:tmpl w:val="BD42458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0079"/>
    <w:multiLevelType w:val="multilevel"/>
    <w:tmpl w:val="A7B09590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4635B"/>
    <w:multiLevelType w:val="multilevel"/>
    <w:tmpl w:val="C2327DE4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3433D9C"/>
    <w:multiLevelType w:val="multilevel"/>
    <w:tmpl w:val="74DA6F2E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5F62A33"/>
    <w:multiLevelType w:val="multilevel"/>
    <w:tmpl w:val="5E902A40"/>
    <w:styleLink w:val="WW8Num3"/>
    <w:lvl w:ilvl="0">
      <w:start w:val="1"/>
      <w:numFmt w:val="decimal"/>
      <w:lvlText w:val="Allegato %1."/>
      <w:lvlJc w:val="left"/>
      <w:pPr>
        <w:ind w:left="360" w:hanging="360"/>
      </w:pPr>
      <w:rPr>
        <w:rFonts w:ascii="Verdana" w:hAnsi="Verdana" w:cs="Times New Roman"/>
        <w:b w:val="0"/>
        <w:i w:val="0"/>
        <w:color w:val="FF0000"/>
        <w:sz w:val="40"/>
      </w:rPr>
    </w:lvl>
    <w:lvl w:ilvl="1">
      <w:start w:val="1"/>
      <w:numFmt w:val="upperLetter"/>
      <w:lvlText w:val="Allegato %1.%2"/>
      <w:lvlJc w:val="left"/>
      <w:pPr>
        <w:ind w:left="3185" w:hanging="1985"/>
      </w:pPr>
      <w:rPr>
        <w:rFonts w:cs="Times New Roman"/>
      </w:rPr>
    </w:lvl>
    <w:lvl w:ilvl="2">
      <w:start w:val="1"/>
      <w:numFmt w:val="decimal"/>
      <w:lvlText w:val="Allegato %1.%2.%3"/>
      <w:lvlJc w:val="left"/>
      <w:pPr>
        <w:ind w:left="1167" w:hanging="567"/>
      </w:pPr>
      <w:rPr>
        <w:rFonts w:ascii="Verdana" w:hAnsi="Verdana" w:cs="Times New Roman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4AA857BD"/>
    <w:multiLevelType w:val="multilevel"/>
    <w:tmpl w:val="8F02E752"/>
    <w:styleLink w:val="WW8Num16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)"/>
      <w:lvlJc w:val="left"/>
      <w:pPr>
        <w:ind w:left="147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C8D"/>
    <w:multiLevelType w:val="multilevel"/>
    <w:tmpl w:val="BF0CA9E2"/>
    <w:styleLink w:val="WW8Num24"/>
    <w:lvl w:ilvl="0">
      <w:start w:val="1"/>
      <w:numFmt w:val="decimal"/>
      <w:lvlText w:val="%1."/>
      <w:lvlJc w:val="left"/>
      <w:pPr>
        <w:ind w:left="700" w:hanging="615"/>
      </w:pPr>
    </w:lvl>
    <w:lvl w:ilvl="1">
      <w:start w:val="2"/>
      <w:numFmt w:val="lowerLetter"/>
      <w:lvlText w:val="%2)"/>
      <w:lvlJc w:val="left"/>
      <w:pPr>
        <w:ind w:left="147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56936"/>
    <w:multiLevelType w:val="multilevel"/>
    <w:tmpl w:val="F4F63CC6"/>
    <w:styleLink w:val="WW8Num12"/>
    <w:lvl w:ilvl="0">
      <w:start w:val="1"/>
      <w:numFmt w:val="upp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4104"/>
    <w:multiLevelType w:val="multilevel"/>
    <w:tmpl w:val="F232005E"/>
    <w:styleLink w:val="WW8Num10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6" w15:restartNumberingAfterBreak="0">
    <w:nsid w:val="594F7A28"/>
    <w:multiLevelType w:val="multilevel"/>
    <w:tmpl w:val="6BC84140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A6D453D"/>
    <w:multiLevelType w:val="multilevel"/>
    <w:tmpl w:val="CDB2DAC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2697C"/>
    <w:multiLevelType w:val="multilevel"/>
    <w:tmpl w:val="00CAA81C"/>
    <w:styleLink w:val="WW8Num9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3CE2"/>
    <w:multiLevelType w:val="multilevel"/>
    <w:tmpl w:val="C9E0169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21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4250E6E"/>
    <w:multiLevelType w:val="multilevel"/>
    <w:tmpl w:val="90E4E05C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87F661A"/>
    <w:multiLevelType w:val="multilevel"/>
    <w:tmpl w:val="996C5C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C9E0C1A"/>
    <w:multiLevelType w:val="multilevel"/>
    <w:tmpl w:val="047A250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7F0D61D5"/>
    <w:multiLevelType w:val="multilevel"/>
    <w:tmpl w:val="07B6328A"/>
    <w:styleLink w:val="WW8Num13"/>
    <w:lvl w:ilvl="0">
      <w:start w:val="2"/>
      <w:numFmt w:val="lowerLetter"/>
      <w:lvlText w:val="%1)"/>
      <w:lvlJc w:val="left"/>
      <w:pPr>
        <w:ind w:left="482" w:hanging="397"/>
      </w:pPr>
    </w:lvl>
    <w:lvl w:ilvl="1">
      <w:start w:val="2"/>
      <w:numFmt w:val="lowerLetter"/>
      <w:lvlText w:val="%2)"/>
      <w:lvlJc w:val="left"/>
      <w:pPr>
        <w:ind w:left="147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9855">
    <w:abstractNumId w:val="9"/>
  </w:num>
  <w:num w:numId="2" w16cid:durableId="611787465">
    <w:abstractNumId w:val="4"/>
  </w:num>
  <w:num w:numId="3" w16cid:durableId="498353994">
    <w:abstractNumId w:val="11"/>
  </w:num>
  <w:num w:numId="4" w16cid:durableId="297928141">
    <w:abstractNumId w:val="5"/>
  </w:num>
  <w:num w:numId="5" w16cid:durableId="1042094678">
    <w:abstractNumId w:val="6"/>
  </w:num>
  <w:num w:numId="6" w16cid:durableId="1791046189">
    <w:abstractNumId w:val="19"/>
  </w:num>
  <w:num w:numId="7" w16cid:durableId="1970623889">
    <w:abstractNumId w:val="0"/>
  </w:num>
  <w:num w:numId="8" w16cid:durableId="1619802265">
    <w:abstractNumId w:val="20"/>
  </w:num>
  <w:num w:numId="9" w16cid:durableId="722414278">
    <w:abstractNumId w:val="18"/>
  </w:num>
  <w:num w:numId="10" w16cid:durableId="276184991">
    <w:abstractNumId w:val="15"/>
  </w:num>
  <w:num w:numId="11" w16cid:durableId="288125136">
    <w:abstractNumId w:val="10"/>
  </w:num>
  <w:num w:numId="12" w16cid:durableId="1496219564">
    <w:abstractNumId w:val="14"/>
  </w:num>
  <w:num w:numId="13" w16cid:durableId="1333989304">
    <w:abstractNumId w:val="23"/>
  </w:num>
  <w:num w:numId="14" w16cid:durableId="1235580636">
    <w:abstractNumId w:val="2"/>
  </w:num>
  <w:num w:numId="15" w16cid:durableId="565990648">
    <w:abstractNumId w:val="21"/>
  </w:num>
  <w:num w:numId="16" w16cid:durableId="1179731016">
    <w:abstractNumId w:val="12"/>
  </w:num>
  <w:num w:numId="17" w16cid:durableId="1214392502">
    <w:abstractNumId w:val="16"/>
  </w:num>
  <w:num w:numId="18" w16cid:durableId="838888959">
    <w:abstractNumId w:val="17"/>
  </w:num>
  <w:num w:numId="19" w16cid:durableId="2048989550">
    <w:abstractNumId w:val="22"/>
  </w:num>
  <w:num w:numId="20" w16cid:durableId="196747756">
    <w:abstractNumId w:val="7"/>
  </w:num>
  <w:num w:numId="21" w16cid:durableId="1514686633">
    <w:abstractNumId w:val="3"/>
  </w:num>
  <w:num w:numId="22" w16cid:durableId="1994481579">
    <w:abstractNumId w:val="8"/>
  </w:num>
  <w:num w:numId="23" w16cid:durableId="838471442">
    <w:abstractNumId w:val="1"/>
  </w:num>
  <w:num w:numId="24" w16cid:durableId="469372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C8"/>
    <w:rsid w:val="00027942"/>
    <w:rsid w:val="000A365C"/>
    <w:rsid w:val="001331E1"/>
    <w:rsid w:val="002437E7"/>
    <w:rsid w:val="003D10C8"/>
    <w:rsid w:val="00494F65"/>
    <w:rsid w:val="00657FC7"/>
    <w:rsid w:val="006C51C8"/>
    <w:rsid w:val="00746025"/>
    <w:rsid w:val="0086224B"/>
    <w:rsid w:val="0088469F"/>
    <w:rsid w:val="008E17A5"/>
    <w:rsid w:val="00930AB3"/>
    <w:rsid w:val="00B111EC"/>
    <w:rsid w:val="00B666FE"/>
    <w:rsid w:val="00B841C1"/>
    <w:rsid w:val="00C803D9"/>
    <w:rsid w:val="00EA3DD7"/>
    <w:rsid w:val="00EB7F31"/>
    <w:rsid w:val="00E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784"/>
  <w15:docId w15:val="{12DBE022-0442-465B-99CE-30B629B0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val="fr-FR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before="60" w:after="60" w:line="320" w:lineRule="atLeast"/>
      <w:jc w:val="both"/>
    </w:pPr>
    <w:rPr>
      <w:rFonts w:ascii="Verdana" w:hAnsi="Verdana" w:cs="Verdana"/>
      <w:szCs w:val="24"/>
      <w:lang w:val="it-IT"/>
    </w:rPr>
  </w:style>
  <w:style w:type="paragraph" w:customStyle="1" w:styleId="titolo1Allegato">
    <w:name w:val="titolo1Allegato"/>
    <w:basedOn w:val="Standard"/>
    <w:next w:val="Standard"/>
    <w:pPr>
      <w:spacing w:before="60" w:after="400" w:line="320" w:lineRule="atLeast"/>
    </w:pPr>
    <w:rPr>
      <w:rFonts w:ascii="Verdana" w:hAnsi="Verdana" w:cs="Verdana"/>
      <w:color w:val="FF0000"/>
      <w:sz w:val="40"/>
      <w:szCs w:val="24"/>
      <w:lang w:val="it-IT"/>
    </w:rPr>
  </w:style>
  <w:style w:type="paragraph" w:customStyle="1" w:styleId="Titolo2Allegato">
    <w:name w:val="Titolo2Allegato"/>
    <w:basedOn w:val="titolo1Allegato"/>
    <w:next w:val="Standard"/>
    <w:rPr>
      <w:sz w:val="30"/>
    </w:rPr>
  </w:style>
  <w:style w:type="paragraph" w:customStyle="1" w:styleId="titolo3allegato">
    <w:name w:val="titolo3allegato"/>
    <w:basedOn w:val="Titolo2Allegato"/>
    <w:next w:val="Standard"/>
    <w:rPr>
      <w:b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sz w:val="28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Verdana" w:hAnsi="Verdana" w:cs="Times New Roman"/>
      <w:b w:val="0"/>
      <w:i w:val="0"/>
      <w:color w:val="FF0000"/>
      <w:sz w:val="40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  <w:rPr>
      <w:rFonts w:ascii="Verdana" w:hAnsi="Verdana" w:cs="Times New Roman"/>
      <w:b/>
      <w:i w:val="0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  <w:lang w:val="it-IT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lang w:val="it-IT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Arial" w:eastAsia="Times New Roman" w:hAnsi="Arial" w:cs="Arial"/>
      <w:lang w:val="it-IT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oterChar">
    <w:name w:val="Footer Char"/>
    <w:rPr>
      <w:rFonts w:ascii="Verdana" w:hAnsi="Verdana" w:cs="Verdana"/>
      <w:szCs w:val="24"/>
      <w:lang w:val="it-IT" w:bidi="ar-SA"/>
    </w:rPr>
  </w:style>
  <w:style w:type="character" w:customStyle="1" w:styleId="titolo1AllegatoCarattere">
    <w:name w:val="titolo1Allegato Carattere"/>
    <w:rPr>
      <w:rFonts w:ascii="Verdana" w:hAnsi="Verdana" w:cs="Verdana"/>
      <w:color w:val="FF0000"/>
      <w:sz w:val="40"/>
      <w:szCs w:val="24"/>
      <w:lang w:val="it-IT" w:bidi="ar-SA"/>
    </w:rPr>
  </w:style>
  <w:style w:type="character" w:customStyle="1" w:styleId="titolo3allegatoCarattere">
    <w:name w:val="titolo3allegato Carattere"/>
    <w:rPr>
      <w:rFonts w:ascii="Verdana" w:hAnsi="Verdana" w:cs="Verdana"/>
      <w:b/>
      <w:color w:val="FF0000"/>
      <w:sz w:val="30"/>
      <w:szCs w:val="24"/>
      <w:lang w:val="it-IT" w:bidi="ar-SA"/>
    </w:rPr>
  </w:style>
  <w:style w:type="character" w:customStyle="1" w:styleId="HeaderChar">
    <w:name w:val="Header Char"/>
    <w:rPr>
      <w:lang w:val="fr-FR" w:bidi="ar-SA"/>
    </w:rPr>
  </w:style>
  <w:style w:type="character" w:customStyle="1" w:styleId="CarattereCarattere">
    <w:name w:val="Carattere Carattere"/>
    <w:rPr>
      <w:rFonts w:ascii="Verdana" w:hAnsi="Verdana" w:cs="Times New Roman"/>
      <w:sz w:val="24"/>
      <w:szCs w:val="24"/>
      <w:lang w:val="it-IT" w:bidi="ar-SA"/>
    </w:rPr>
  </w:style>
  <w:style w:type="character" w:styleId="Numeropagina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fr-FR" w:bidi="ar-SA"/>
    </w:rPr>
  </w:style>
  <w:style w:type="character" w:customStyle="1" w:styleId="Titolo1Carattere">
    <w:name w:val="Titolo 1 Carattere"/>
    <w:rPr>
      <w:rFonts w:ascii="Calibri Light" w:eastAsia="Times New Roman" w:hAnsi="Calibri Light"/>
      <w:color w:val="2E74B5"/>
      <w:sz w:val="32"/>
      <w:szCs w:val="29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sz w:val="20"/>
      <w:szCs w:val="18"/>
    </w:rPr>
  </w:style>
  <w:style w:type="character" w:customStyle="1" w:styleId="PidipaginaCarattere">
    <w:name w:val="Piè di pagina Carattere"/>
    <w:rPr>
      <w:rFonts w:ascii="Verdana" w:eastAsia="Times New Roman" w:hAnsi="Verdana" w:cs="Verdana"/>
      <w:sz w:val="20"/>
      <w:lang w:bidi="ar-SA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7F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voripubblici.it/normativa/20191127/Sentenza-Corte-di-Giustizia-UE-27-novembre-2019-C-402-18-1906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voripubblici.it/news/2019/09/LAVORI-PUBBLICI/22647/Corte-di-giustizia-europea-limiti-al-subappalto-contrari-alla-normativa-europe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biblus.acca.it/download/dlgs-19-aprile-2017-n-56-correttivo-codice-appalt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CA07B-C0F0-437D-81F3-88C8E65BD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488F6-8379-41DC-9444-9B9C54E26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62732-2A82-4D81-AF6A-6B40F10F6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22220</CharactersWithSpaces>
  <SharedDoc>false</SharedDoc>
  <HLinks>
    <vt:vector size="18" baseType="variant">
      <vt:variant>
        <vt:i4>6225984</vt:i4>
      </vt:variant>
      <vt:variant>
        <vt:i4>6</vt:i4>
      </vt:variant>
      <vt:variant>
        <vt:i4>0</vt:i4>
      </vt:variant>
      <vt:variant>
        <vt:i4>5</vt:i4>
      </vt:variant>
      <vt:variant>
        <vt:lpwstr>https://www.lavoripubblici.it/normativa/20191127/Sentenza-Corte-di-Giustizia-UE-27-novembre-2019-C-402-18-19064.html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https://www.lavoripubblici.it/news/2019/09/LAVORI-PUBBLICI/22647/Corte-di-giustizia-europea-limiti-al-subappalto-contrari-alla-normativa-europea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http://biblus.acca.it/download/dlgs-19-aprile-2017-n-56-correttivo-codice-appalti/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sommacal_s</dc:creator>
  <cp:keywords/>
  <cp:lastModifiedBy>Capraro Fausto</cp:lastModifiedBy>
  <cp:revision>2</cp:revision>
  <cp:lastPrinted>2017-11-22T08:34:00Z</cp:lastPrinted>
  <dcterms:created xsi:type="dcterms:W3CDTF">2024-09-30T09:30:00Z</dcterms:created>
  <dcterms:modified xsi:type="dcterms:W3CDTF">2024-09-30T09:30:00Z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