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7B43" w14:textId="77777777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Oggetto: POR FESR 2014/2020 - Progetto... CUP ... - POR FESR 2014-2020 - ASSE .. - AZIONE ... </w:t>
      </w:r>
      <w:r>
        <w:rPr>
          <w:color w:val="323130"/>
          <w:sz w:val="23"/>
          <w:szCs w:val="23"/>
          <w:u w:val="single"/>
          <w:bdr w:val="none" w:sz="0" w:space="0" w:color="auto" w:frame="1"/>
        </w:rPr>
        <w:t>Richiesta di integrazione sul subappalto di cui alla procedura...</w:t>
      </w:r>
      <w:r>
        <w:rPr>
          <w:color w:val="323130"/>
          <w:sz w:val="23"/>
          <w:szCs w:val="23"/>
          <w:bdr w:val="none" w:sz="0" w:space="0" w:color="auto" w:frame="1"/>
        </w:rPr>
        <w:t>.</w:t>
      </w:r>
    </w:p>
    <w:p w14:paraId="791AECA4" w14:textId="504CAAF4" w:rsidR="002C51F4" w:rsidRDefault="002C51F4" w:rsidP="002C51F4">
      <w:pPr>
        <w:pStyle w:val="NormaleWeb"/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 </w:t>
      </w:r>
    </w:p>
    <w:p w14:paraId="18F542E5" w14:textId="77777777" w:rsidR="002C51F4" w:rsidRDefault="002C51F4" w:rsidP="002C51F4">
      <w:pPr>
        <w:pStyle w:val="NormaleWeb"/>
        <w:shd w:val="clear" w:color="auto" w:fill="FFFFFF"/>
        <w:spacing w:before="0" w:after="0"/>
        <w:ind w:firstLine="708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La Corte di Giustizia Europea, con sentenza C-63/18 del 26 settembre 2019, ha statuito la non conformità al diritto comunitario della norma nazionale che prevede un limite quantitativo al subappalto, </w:t>
      </w:r>
      <w:r>
        <w:rPr>
          <w:color w:val="323130"/>
          <w:sz w:val="23"/>
          <w:szCs w:val="23"/>
          <w:u w:val="single"/>
          <w:bdr w:val="none" w:sz="0" w:space="0" w:color="auto" w:frame="1"/>
        </w:rPr>
        <w:t>in assenza di valutazioni caso per caso da parte della stazione appaltante circa l’effettiva necessità di una restrizione al subappalto stesso</w:t>
      </w:r>
      <w:r>
        <w:rPr>
          <w:color w:val="323130"/>
          <w:sz w:val="23"/>
          <w:szCs w:val="23"/>
          <w:bdr w:val="none" w:sz="0" w:space="0" w:color="auto" w:frame="1"/>
        </w:rPr>
        <w:t>.   </w:t>
      </w:r>
    </w:p>
    <w:p w14:paraId="61429394" w14:textId="284744C2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      Conseguentemente la Commissione Europea- DG REGIO ha invitato tutte le Autorità italiane dei Programmi operativi a verificare, per i progetti co-finanziati durante il periodo di programmazione 2014-2020</w:t>
      </w:r>
      <w:r>
        <w:rPr>
          <w:b/>
          <w:bCs/>
          <w:color w:val="323130"/>
          <w:sz w:val="23"/>
          <w:szCs w:val="23"/>
          <w:bdr w:val="none" w:sz="0" w:space="0" w:color="auto" w:frame="1"/>
        </w:rPr>
        <w:t>, </w:t>
      </w:r>
      <w:r>
        <w:rPr>
          <w:color w:val="323130"/>
          <w:sz w:val="23"/>
          <w:szCs w:val="23"/>
          <w:bdr w:val="none" w:sz="0" w:space="0" w:color="auto" w:frame="1"/>
        </w:rPr>
        <w:t>la previsione di limitazione ingiustificata del subappalto.</w:t>
      </w:r>
    </w:p>
    <w:p w14:paraId="5FEF85B7" w14:textId="51259274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     Ciò posto, si ritiene opportuno, se sussistono le condizioni, verificare, ed integrare per il progetto e le procedure in oggetto, la documentazione relativa con una dichiarazione resa da parte del Dirigente Responsabile, nella quale vengano esplicitate le motivazioni collegate allo specifico appalto che giustificano e confermano la limitazione delle prestazioni subappaltabili.</w:t>
      </w:r>
    </w:p>
    <w:p w14:paraId="55F77B1E" w14:textId="29704D06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A tal fine si richiama quanto indicato nell’atto di segnalazione dell'ANAC n. 8 del 13 novembre 2019, dove si fa riferimento alla sussistenza, ad esempio, di motivazioni collegate:</w:t>
      </w:r>
    </w:p>
    <w:p w14:paraId="7CD00FE7" w14:textId="5DC5AFAB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</w:t>
      </w:r>
      <w:r>
        <w:rPr>
          <w:color w:val="323130"/>
          <w:sz w:val="23"/>
          <w:szCs w:val="23"/>
          <w:bdr w:val="none" w:sz="0" w:space="0" w:color="auto" w:frame="1"/>
        </w:rPr>
        <w:tab/>
        <w:t>1)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alla natura (principale, prevalente o accessoria) della prestazione;</w:t>
      </w:r>
    </w:p>
    <w:p w14:paraId="54FF05A8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2)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 specifiche esigenze tecniche o che richiedevano di non parcellizzare l'appalto;</w:t>
      </w:r>
    </w:p>
    <w:p w14:paraId="5688D7DF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3)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 finalità di carattere preventivo rispetto a fenomeni di corruzione, spartizione o di rischio di infiltrazioni criminali o mafiose;</w:t>
      </w:r>
    </w:p>
    <w:p w14:paraId="5ACE57AF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4)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ad esigenze di carattere organizzativo per una più efficiente e veloce esecuzione della prestazione;</w:t>
      </w:r>
    </w:p>
    <w:p w14:paraId="3906ADF7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5)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al valore e la complessità del contratto, essendo un appalto di particolare rilevanza che richiedeva più flessibilità nella fase realizzativa.</w:t>
      </w:r>
    </w:p>
    <w:p w14:paraId="3BDB462A" w14:textId="77777777" w:rsidR="0016253C" w:rsidRDefault="00BF2291"/>
    <w:sectPr w:rsidR="0016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4"/>
    <w:rsid w:val="002C51F4"/>
    <w:rsid w:val="002D1432"/>
    <w:rsid w:val="007A6D21"/>
    <w:rsid w:val="00B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8186"/>
  <w15:chartTrackingRefBased/>
  <w15:docId w15:val="{E9061C7E-F917-4BDB-B850-70C882E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Potena</dc:creator>
  <cp:keywords/>
  <dc:description/>
  <cp:lastModifiedBy>Aguiari Diletta</cp:lastModifiedBy>
  <cp:revision>2</cp:revision>
  <dcterms:created xsi:type="dcterms:W3CDTF">2020-09-02T13:35:00Z</dcterms:created>
  <dcterms:modified xsi:type="dcterms:W3CDTF">2020-09-02T13:35:00Z</dcterms:modified>
</cp:coreProperties>
</file>