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1022"/>
        <w:gridCol w:w="1529"/>
        <w:gridCol w:w="2040"/>
        <w:gridCol w:w="228"/>
        <w:gridCol w:w="2268"/>
        <w:gridCol w:w="2268"/>
        <w:gridCol w:w="2374"/>
      </w:tblGrid>
      <w:tr w:rsidR="00AB2D3B" w14:paraId="43FBFAF8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F1CE" w14:textId="77777777" w:rsidR="00AB2D3B" w:rsidRDefault="00AB2D3B" w:rsidP="00AB2D3B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14:paraId="7E4D3902" w14:textId="77777777" w:rsidR="00AB2D3B" w:rsidRPr="009335F7" w:rsidRDefault="00AB2D3B" w:rsidP="00AB2D3B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Legge 14 giugno 2019, n. 55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art. 1, comma 20, lett. h)</w:t>
            </w:r>
          </w:p>
          <w:p w14:paraId="00FB4E6A" w14:textId="7391055F" w:rsidR="00AB2D3B" w:rsidRDefault="00AB2D3B" w:rsidP="00AB2D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5F7">
              <w:rPr>
                <w:rFonts w:ascii="Arial" w:hAnsi="Arial" w:cs="Arial"/>
                <w:sz w:val="22"/>
                <w:szCs w:val="22"/>
              </w:rPr>
              <w:t xml:space="preserve">Conversione in legge, con modificazioni, del decreto-legge 18 aprile 2019, n. 32, recante </w:t>
            </w: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Pr="004E4C23">
              <w:rPr>
                <w:rFonts w:ascii="Arial" w:hAnsi="Arial" w:cs="Arial"/>
                <w:sz w:val="22"/>
                <w:szCs w:val="22"/>
                <w:u w:val="single"/>
              </w:rPr>
              <w:t>Disposizioni urgenti per il rilancio del settore dei contratti pubblici, per l'accelerazione degli interventi infrastrutturali, di rigenerazione urbana e di ricostruzione a seguito di eventi sismici.</w:t>
            </w:r>
            <w:r w:rsidRPr="004E4C23">
              <w:rPr>
                <w:rFonts w:ascii="Arial" w:hAnsi="Arial" w:cs="Arial"/>
                <w:sz w:val="22"/>
                <w:szCs w:val="22"/>
              </w:rPr>
              <w:t>&gt;&gt;</w:t>
            </w:r>
          </w:p>
        </w:tc>
      </w:tr>
      <w:tr w:rsidR="007243AF" w14:paraId="32EA5D5A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2B989" w14:textId="7FBA57C0" w:rsidR="007243AF" w:rsidRDefault="007243AF" w:rsidP="007243A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3.2</w:t>
            </w:r>
            <w:r w:rsidR="00AB2D3B">
              <w:rPr>
                <w:rFonts w:ascii="Arial" w:hAnsi="Arial" w:cs="Arial"/>
                <w:b/>
                <w:bCs/>
                <w:lang w:val="it-IT"/>
              </w:rPr>
              <w:t xml:space="preserve"> - Procedure Ordinarie</w:t>
            </w:r>
          </w:p>
          <w:p w14:paraId="5EC47C88" w14:textId="329982F0" w:rsidR="007243AF" w:rsidRDefault="00AB2D3B" w:rsidP="00AB2D3B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AFFIDAMENTO DI LAVORI DI IMPORTO PARI O SUPERIORE A EURO 1.000.000</w:t>
            </w:r>
            <w:r w:rsidR="007243AF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>E FINO ALLE SOGLIE DI CUI ALL’ART. 35</w:t>
            </w:r>
          </w:p>
        </w:tc>
      </w:tr>
      <w:tr w:rsidR="007243AF" w14:paraId="3C850616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C0768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85225A" w14:paraId="320C3D1B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04C4E" w14:textId="77777777" w:rsidR="0085225A" w:rsidRDefault="0085225A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A6411" w14:paraId="2A78DF23" w14:textId="39F506BE" w:rsidTr="00176DE0">
        <w:trPr>
          <w:trHeight w:val="413"/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F5297" w14:textId="4B8A1A31" w:rsidR="006A6411" w:rsidRDefault="006A6411" w:rsidP="006A641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TIPO STAZIONE APPALTANTE: (es. Amministrazione statale centrale o periferica, scuola, ente locale, ente di servizio sanitario locale,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ecc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)</w:t>
            </w:r>
          </w:p>
          <w:p w14:paraId="081074E1" w14:textId="7D56C9F9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D7596" w14:paraId="5FE6785F" w14:textId="77777777" w:rsidTr="00176DE0">
        <w:trPr>
          <w:trHeight w:val="412"/>
          <w:jc w:val="center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4D497" w14:textId="63A90E00" w:rsidR="001D7596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Qualificata (AUSA – Elenco ANAC)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C5FC" w14:textId="77777777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Comune non capoluogo di provincia</w:t>
            </w:r>
          </w:p>
          <w:p w14:paraId="6A4E9FB2" w14:textId="3B984A65" w:rsidR="006A6411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Direttamente solo per forniture/servizi &lt; 40.000 € e lavori &lt; 150.000 €</w:t>
            </w:r>
          </w:p>
          <w:p w14:paraId="5C6AD8C2" w14:textId="5682DBC0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Adesione a convenzione/accordo quadro di centrale di committenza o sogg. Aggregatore</w:t>
            </w:r>
          </w:p>
          <w:p w14:paraId="281FFA4F" w14:textId="37D7D455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Centrale di committenza o soggetto Aggregatore</w:t>
            </w:r>
          </w:p>
          <w:p w14:paraId="6DF98BF4" w14:textId="71686A1B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Unione di Comuni costituita e qualificata come centrale di committenza</w:t>
            </w:r>
          </w:p>
          <w:p w14:paraId="4DBB810C" w14:textId="4505366C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Associazione o consorzio in centrale di committenza</w:t>
            </w:r>
          </w:p>
          <w:p w14:paraId="1BDBF22D" w14:textId="2E2FC8AF" w:rsidR="001D7596" w:rsidRP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Stazione Unica appaltante costituita presso gli enti di area vasta</w:t>
            </w:r>
          </w:p>
        </w:tc>
      </w:tr>
      <w:tr w:rsidR="0046148E" w14:paraId="2752FC0D" w14:textId="77777777" w:rsidTr="00176DE0">
        <w:trPr>
          <w:trHeight w:val="412"/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B533B" w14:textId="77777777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 w:rsidRPr="006A6411">
              <w:rPr>
                <w:rFonts w:ascii="Arial" w:hAnsi="Arial" w:cs="Arial"/>
                <w:b/>
                <w:bCs/>
                <w:lang w:val="it-IT"/>
              </w:rPr>
              <w:t>SI - NO</w:t>
            </w:r>
            <w:r w:rsidRPr="006A6411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5141" w14:textId="60BEDC03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06F" w14:textId="2E67BA29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Specificare quale tra quelle elencate</w:t>
            </w:r>
          </w:p>
        </w:tc>
      </w:tr>
      <w:tr w:rsidR="007243AF" w14:paraId="69280E06" w14:textId="77777777" w:rsidTr="007243A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BF0C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BC1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43AF" w14:paraId="216AD658" w14:textId="77777777" w:rsidTr="007243AF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EDDE3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0F8321EA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652" w14:textId="77777777" w:rsidR="007243AF" w:rsidRPr="00E43D27" w:rsidRDefault="007243AF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36FD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6186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34D0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CEF4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354133BE" w14:textId="77777777" w:rsidR="007243AF" w:rsidRPr="00E43D27" w:rsidRDefault="007243AF" w:rsidP="007243AF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7243AF" w14:paraId="1C8E8027" w14:textId="77777777" w:rsidTr="007243AF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DAB0A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5389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6B63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8CC9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AA00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9791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1D70FFE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270"/>
        <w:gridCol w:w="3118"/>
        <w:gridCol w:w="2555"/>
        <w:gridCol w:w="3503"/>
      </w:tblGrid>
      <w:tr w:rsidR="007243AF" w14:paraId="0624FECF" w14:textId="77777777" w:rsidTr="007243A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D431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48016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8996" w14:textId="77777777" w:rsidR="007243AF" w:rsidRPr="00E43D27" w:rsidRDefault="007243AF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243AF" w14:paraId="1C7EDADF" w14:textId="77777777" w:rsidTr="007243A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1155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5C452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93A7B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55F78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C4FD0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243AF" w14:paraId="40ABBC8F" w14:textId="77777777" w:rsidTr="007243A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F5DA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98653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2D4C7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999BB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B77B1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5A90A9A9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90"/>
        <w:gridCol w:w="1241"/>
        <w:gridCol w:w="4885"/>
      </w:tblGrid>
      <w:tr w:rsidR="007243AF" w14:paraId="22801386" w14:textId="77777777" w:rsidTr="007243AF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95A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7243AF" w14:paraId="576AC2CA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9B0F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6601A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88A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4846C4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973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14:paraId="6A5F7263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A6DC" w14:textId="1BE6D517" w:rsidR="007243AF" w:rsidRDefault="00A07592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119D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37B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BC69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CB648C5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43BB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5D92" w14:textId="77777777" w:rsidR="00C135A5" w:rsidRDefault="00C135A5" w:rsidP="007A23C3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14:paraId="3ECC98DC" w14:textId="77777777" w:rsidR="00C135A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30 comma 1 – principi per l’aggiudicazione e l’esecuzione di appalti e concessioni</w:t>
            </w:r>
          </w:p>
          <w:p w14:paraId="4A10FC33" w14:textId="77777777" w:rsidR="00C135A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34 – criteri di sostenibilità energetica e ambientale</w:t>
            </w:r>
          </w:p>
          <w:p w14:paraId="08A806EC" w14:textId="77777777" w:rsidR="00C135A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 – conflitto di interesse</w:t>
            </w:r>
          </w:p>
          <w:p w14:paraId="5E066534" w14:textId="77777777" w:rsidR="007243AF" w:rsidRDefault="007243AF" w:rsidP="007A23C3">
            <w:pPr>
              <w:pStyle w:val="Standard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5D3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0EE02" w14:textId="77777777" w:rsidR="00280975" w:rsidRDefault="00280975" w:rsidP="0028097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 w:rsidRPr="00181B79">
              <w:rPr>
                <w:rFonts w:ascii="Arial" w:hAnsi="Arial" w:cs="Arial"/>
                <w:b/>
                <w:lang w:val="it-IT"/>
              </w:rPr>
              <w:t>sì</w:t>
            </w:r>
            <w:r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14:paraId="69B62BAC" w14:textId="1FA7A6C2" w:rsidR="007243AF" w:rsidRPr="00E43D27" w:rsidRDefault="00280975" w:rsidP="00280975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>
              <w:rPr>
                <w:rFonts w:ascii="Arial" w:hAnsi="Arial" w:cs="Arial"/>
                <w:b/>
                <w:lang w:val="it-IT"/>
              </w:rPr>
              <w:t>no/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n.a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="007243AF" w14:paraId="4718F4D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548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AA36" w14:textId="77777777" w:rsidR="00C135A5" w:rsidRPr="00C60010" w:rsidRDefault="00C135A5" w:rsidP="007A23C3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E43D27">
              <w:rPr>
                <w:rFonts w:ascii="Arial" w:hAnsi="Arial" w:cs="Arial"/>
                <w:lang w:val="it-IT"/>
              </w:rPr>
              <w:t xml:space="preserve">Il RUP è individuato nell'atto di adozione o aggiornamento dei programmi di cui all'art. </w:t>
            </w:r>
            <w:r w:rsidRPr="00C60010">
              <w:rPr>
                <w:rFonts w:ascii="Arial" w:hAnsi="Arial" w:cs="Arial"/>
                <w:lang w:val="it-IT"/>
              </w:rPr>
              <w:t>21, comma 1, (Programma degli acquisti e programmazione dei lavori pubblici) o nell'atto di avvio relativo ad ogni singolo intervento per le esigenze non incluse in programmazione?</w:t>
            </w:r>
          </w:p>
          <w:p w14:paraId="73A266F4" w14:textId="77777777" w:rsidR="007243AF" w:rsidRPr="00C60010" w:rsidRDefault="007243AF" w:rsidP="007A23C3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48E0F" w14:textId="77777777" w:rsidR="007243AF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B330" w14:textId="2C8AF309" w:rsidR="007243AF" w:rsidRDefault="002B6DA5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Dati identificativi ed estremi dell’atto di nomina</w:t>
            </w:r>
          </w:p>
        </w:tc>
      </w:tr>
      <w:tr w:rsidR="007243AF" w14:paraId="33121F7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524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3CCF" w14:textId="77777777" w:rsidR="00280975" w:rsidRPr="00E43D27" w:rsidRDefault="00280975" w:rsidP="0028097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E43D27">
              <w:rPr>
                <w:rFonts w:ascii="Arial" w:hAnsi="Arial" w:cs="Arial"/>
                <w:lang w:val="it-IT"/>
              </w:rPr>
              <w:t>Nella procedura di cui all’art. 36, comma 2, lettere a) e lettera b) è presente la determina a contrarre o l’atto ad essa equivalente, secondo l’ordinamento della singola stazione appaltante, che dà avvio alla procedura di cui all’art. 32 comma 2, secondo periodo ?</w:t>
            </w:r>
          </w:p>
          <w:p w14:paraId="7821D79E" w14:textId="77777777" w:rsidR="00280975" w:rsidRPr="00E43D27" w:rsidRDefault="00280975" w:rsidP="0028097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E43D27">
              <w:rPr>
                <w:rFonts w:ascii="Arial" w:hAnsi="Arial" w:cs="Arial"/>
                <w:lang w:val="it-IT"/>
              </w:rPr>
              <w:t>(Disposizione modificata dalla L. 55/2019 art.1, comma 20 lett. f))</w:t>
            </w:r>
          </w:p>
          <w:p w14:paraId="299C2BA6" w14:textId="00612FFF" w:rsidR="007243AF" w:rsidRPr="00E43D27" w:rsidRDefault="009902B6" w:rsidP="007A23C3">
            <w:pPr>
              <w:pStyle w:val="Standard"/>
              <w:jc w:val="both"/>
              <w:rPr>
                <w:lang w:val="it-IT"/>
              </w:rPr>
            </w:pPr>
            <w:r w:rsidRPr="00E43D27">
              <w:rPr>
                <w:lang w:val="it-IT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4E80" w14:textId="77777777" w:rsidR="007243AF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7847B" w14:textId="7BF15FF0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9902B6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77C6FD5B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648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8283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98B8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165D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008B36EE" w14:textId="1B51A86A" w:rsidR="00FE2CC5" w:rsidRDefault="00FE2CC5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i documenti di gara, bando, disciplinare…</w:t>
            </w:r>
          </w:p>
        </w:tc>
      </w:tr>
      <w:tr w:rsidR="007243AF" w14:paraId="6D82F8D7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2956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73DA" w14:textId="77777777" w:rsidR="007243AF" w:rsidRDefault="007243AF" w:rsidP="007A23C3">
            <w:pPr>
              <w:pStyle w:val="Standard"/>
              <w:spacing w:after="10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2718" w14:textId="77777777" w:rsidR="007243AF" w:rsidRDefault="007243AF" w:rsidP="007243AF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7A6B3" w14:textId="77777777" w:rsidR="007243AF" w:rsidRDefault="007243AF" w:rsidP="007243A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2387B21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4BD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64034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21A9FC56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22D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7E4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7332859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499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5DA7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BF2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6C8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2C469D8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FA5B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2179" w14:textId="77777777" w:rsidR="007243AF" w:rsidRDefault="007243AF" w:rsidP="007A23C3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 xml:space="preserve">Il progetto rientra nei casi in cui la possibilità di subappalto è esclusa (vedi art. 105 del Dlgs 50/2016)? 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lang w:val="it-IT"/>
              </w:rPr>
              <w:t>sì specificare nei commenti quale caso ricorre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EE252" w14:textId="77777777" w:rsidR="007243AF" w:rsidRDefault="007243AF" w:rsidP="007243AF">
            <w:pPr>
              <w:pStyle w:val="Standard"/>
              <w:snapToGrid w:val="0"/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229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241D7AD5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89"/>
        <w:gridCol w:w="1241"/>
        <w:gridCol w:w="4886"/>
      </w:tblGrid>
      <w:tr w:rsidR="007243AF" w14:paraId="6A7C11D0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FE6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1BD3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3609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9C3BC94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544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1DEEF26E" w14:textId="77777777" w:rsidTr="007A23C3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599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C77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04C97F9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89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E3C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7243AF" w14:paraId="4F48FC56" w14:textId="77777777" w:rsidTr="007A23C3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7351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5FA3" w14:textId="77777777" w:rsidR="007243AF" w:rsidRPr="00E43D27" w:rsidRDefault="007243AF" w:rsidP="00DD5804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D78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B57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FBE2E87" w14:textId="77777777" w:rsidTr="007A23C3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5421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285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F78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EE2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E70562C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BB2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6CF0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  <w:p w14:paraId="34BAD548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F76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4AB8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7243AF" w14:paraId="3B00A585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6D45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E47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63E99109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E94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141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22DAB4E3" w14:textId="77777777" w:rsidR="007243AF" w:rsidRDefault="007243AF" w:rsidP="007243AF">
      <w:pPr>
        <w:spacing w:before="0" w:after="0"/>
        <w:rPr>
          <w:vanish/>
        </w:rPr>
        <w:sectPr w:rsidR="007243AF">
          <w:footerReference w:type="default" r:id="rId10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40"/>
        <w:gridCol w:w="1276"/>
        <w:gridCol w:w="4783"/>
      </w:tblGrid>
      <w:tr w:rsidR="007243AF" w14:paraId="73C8D458" w14:textId="77777777" w:rsidTr="007243A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2C93" w14:textId="77777777" w:rsidR="007243AF" w:rsidRDefault="007243AF" w:rsidP="007243AF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E184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43DD3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4949C53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DD95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1A01D61" w14:textId="77777777" w:rsidTr="00A07592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7351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BCC2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5F496693" w14:textId="77777777" w:rsidR="00FE2CC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</w:t>
            </w:r>
            <w:r w:rsidR="00FE2CC5">
              <w:rPr>
                <w:rFonts w:ascii="Arial" w:hAnsi="Arial" w:cs="Arial"/>
                <w:lang w:val="it-IT"/>
              </w:rPr>
              <w:t>(</w:t>
            </w:r>
            <w:r>
              <w:rPr>
                <w:rFonts w:ascii="Arial" w:hAnsi="Arial" w:cs="Arial"/>
                <w:lang w:val="it-IT"/>
              </w:rPr>
              <w:t>art. 60</w:t>
            </w:r>
            <w:r w:rsidR="00FE2CC5">
              <w:rPr>
                <w:rFonts w:ascii="Arial" w:hAnsi="Arial" w:cs="Arial"/>
                <w:lang w:val="it-IT"/>
              </w:rPr>
              <w:t>)</w:t>
            </w:r>
          </w:p>
          <w:p w14:paraId="01B4ACA8" w14:textId="63EC5BBA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</w:t>
            </w:r>
            <w:r w:rsidR="00FE2CC5">
              <w:rPr>
                <w:rFonts w:ascii="Arial" w:hAnsi="Arial" w:cs="Arial"/>
                <w:lang w:val="it-IT"/>
              </w:rPr>
              <w:t>(</w:t>
            </w:r>
            <w:r>
              <w:rPr>
                <w:rFonts w:ascii="Arial" w:hAnsi="Arial" w:cs="Arial"/>
                <w:lang w:val="it-IT"/>
              </w:rPr>
              <w:t>art. 61</w:t>
            </w:r>
            <w:r w:rsidR="00FE2CC5">
              <w:rPr>
                <w:rFonts w:ascii="Arial" w:hAnsi="Arial" w:cs="Arial"/>
                <w:lang w:val="it-IT"/>
              </w:rPr>
              <w:t>)</w:t>
            </w:r>
          </w:p>
          <w:p w14:paraId="7D87ED1F" w14:textId="5A1975E5" w:rsidR="00FE2CC5" w:rsidRDefault="00FE2CC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(art. 62)</w:t>
            </w:r>
          </w:p>
          <w:p w14:paraId="1DCCB686" w14:textId="65C078A8" w:rsidR="00280975" w:rsidRDefault="0028097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(Compilare la C.L.n.2.2)</w:t>
            </w:r>
          </w:p>
          <w:p w14:paraId="04703B12" w14:textId="53740043" w:rsidR="00FE2CC5" w:rsidRDefault="00FE2CC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negoziata senza previa pubblicazione di un bando di gara (art. 63)</w:t>
            </w:r>
          </w:p>
          <w:p w14:paraId="243AFD95" w14:textId="10326E77" w:rsidR="00280975" w:rsidRDefault="0028097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(Compilare la </w:t>
            </w:r>
            <w:proofErr w:type="spellStart"/>
            <w:r>
              <w:rPr>
                <w:rFonts w:ascii="Arial" w:hAnsi="Arial" w:cs="Arial"/>
                <w:lang w:val="it-IT"/>
              </w:rPr>
              <w:t>C.L.n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2.3)</w:t>
            </w:r>
          </w:p>
          <w:p w14:paraId="32BFB37A" w14:textId="42890E3A" w:rsidR="00FE2CC5" w:rsidRDefault="00FE2CC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(art. 64)</w:t>
            </w:r>
          </w:p>
          <w:p w14:paraId="1EF38CC2" w14:textId="344E23BA" w:rsidR="00280975" w:rsidRDefault="0028097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(Compilare la </w:t>
            </w:r>
            <w:proofErr w:type="spellStart"/>
            <w:r>
              <w:rPr>
                <w:rFonts w:ascii="Arial" w:hAnsi="Arial" w:cs="Arial"/>
                <w:lang w:val="it-IT"/>
              </w:rPr>
              <w:t>C.L.n</w:t>
            </w:r>
            <w:proofErr w:type="spellEnd"/>
            <w:r>
              <w:rPr>
                <w:rFonts w:ascii="Arial" w:hAnsi="Arial" w:cs="Arial"/>
                <w:lang w:val="it-IT"/>
              </w:rPr>
              <w:t>. 2.4)</w:t>
            </w:r>
          </w:p>
          <w:p w14:paraId="4BA6F2BA" w14:textId="2A01B346" w:rsidR="00FE2CC5" w:rsidRDefault="001D7596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Partenariato per l’innovazione (art. 65)</w:t>
            </w:r>
          </w:p>
          <w:p w14:paraId="379D181D" w14:textId="77777777" w:rsidR="007243AF" w:rsidRDefault="007243AF" w:rsidP="00DD5804">
            <w:pPr>
              <w:pStyle w:val="Standard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D3A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F3DBD" w14:textId="1BCC7966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05B8A0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3E20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35E4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3543F3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520A7CE5" w14:textId="77777777" w:rsidR="007243AF" w:rsidRPr="00E43D27" w:rsidRDefault="007243AF" w:rsidP="00DD5804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3B7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3AEF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2CD72F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072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453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79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6D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37A2AF2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75E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A79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ristretta: è stato previsto il termine minimo per la presentazione delle offerte, sono state rispettate le condizioni di cui all’art. 61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49F82E6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A1A1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8907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6E96C89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E755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1B8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58E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1CC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A0EC53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9BB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45E9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211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B5A9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6E03CB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CCF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D3A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ristretta, sono stati rispettati i termini minimi di ricezione delle domande di partecipazione o di ricezione delle offerte, secondo le modalità di cui all’art. 61 comma 6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 e b)?</w:t>
            </w:r>
          </w:p>
          <w:p w14:paraId="676D830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996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2B7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FE7FED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6651" w14:textId="2F3EA25F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037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40ED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94A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440B2F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85ED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B24B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51F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495B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66523576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FC3D7" w14:textId="27897C71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8</w:t>
            </w:r>
            <w:r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FBD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BD1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393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4FDC0F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EB32" w14:textId="7E6574E8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</w:t>
            </w:r>
            <w:r w:rsidR="00A4465D">
              <w:rPr>
                <w:rFonts w:ascii="Arial" w:hAnsi="Arial" w:cs="Arial"/>
                <w:lang w:val="it-IT"/>
              </w:rPr>
              <w:t>8</w:t>
            </w:r>
            <w:r>
              <w:rPr>
                <w:rFonts w:ascii="Arial" w:hAnsi="Arial" w:cs="Arial"/>
                <w:lang w:val="it-IT"/>
              </w:rPr>
              <w:t>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0DC9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28BC723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7EA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464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BEB249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2756" w14:textId="56A8D63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294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  <w:p w14:paraId="30CEB954" w14:textId="77777777" w:rsidR="00A07592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69B50B38" w14:textId="77777777" w:rsidR="00A07592" w:rsidRPr="0022739A" w:rsidRDefault="00A07592" w:rsidP="00DD5804">
            <w:pPr>
              <w:pStyle w:val="Standard"/>
              <w:jc w:val="both"/>
              <w:rPr>
                <w:rFonts w:ascii="Arial" w:hAnsi="Arial" w:cs="Arial"/>
                <w:b/>
                <w:lang w:val="it-IT"/>
              </w:rPr>
            </w:pPr>
            <w:r w:rsidRPr="0022739A">
              <w:rPr>
                <w:rFonts w:ascii="Arial" w:hAnsi="Arial" w:cs="Arial"/>
                <w:b/>
                <w:lang w:val="it-IT"/>
              </w:rPr>
              <w:t>L'art. 1, comma 20, lett. g1) e g2) modificano l'art. 35, commi 9 e 10 del Codice prevedendo l'obbligo di computare il valore complessivo dei lotti (e non quello del singolo lotto) per stabilire le procedure di gara da seguire anche quando i singoli lotti non vengono aggiudicati "contemporaneamente".</w:t>
            </w:r>
          </w:p>
          <w:p w14:paraId="5351C7C9" w14:textId="694FADE2" w:rsidR="00A07592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570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FF7D" w14:textId="77777777" w:rsidR="007243AF" w:rsidRDefault="007243AF" w:rsidP="00A0759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23BF1" w14:paraId="60EEFBFD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DBED6" w14:textId="0CEE1B28" w:rsidR="00323BF1" w:rsidRDefault="00A4465D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0969" w14:textId="61919711" w:rsidR="00323BF1" w:rsidRDefault="00323BF1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8C9AD" w14:textId="77777777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C517" w14:textId="233E776D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7243AF" w14:paraId="148BF8D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A2C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A97C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D3F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5702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074EF7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EE0C" w14:textId="20D0D34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4556" w14:textId="2458D8A2" w:rsidR="00A27F50" w:rsidRDefault="003636B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indicato specificatamente le ragioni tecniche ed economiche</w:t>
            </w:r>
            <w:r w:rsidR="00A27F50">
              <w:rPr>
                <w:rFonts w:ascii="Arial" w:hAnsi="Arial" w:cs="Arial"/>
                <w:lang w:val="it-IT"/>
              </w:rPr>
              <w:t xml:space="preserve"> che giustificano l’affidamento</w:t>
            </w:r>
            <w:r w:rsidR="00032AAB">
              <w:rPr>
                <w:rFonts w:ascii="Arial" w:hAnsi="Arial" w:cs="Arial"/>
                <w:lang w:val="it-IT"/>
              </w:rPr>
              <w:t xml:space="preserve"> al singolo</w:t>
            </w:r>
            <w:r w:rsidR="00A27F50">
              <w:rPr>
                <w:rFonts w:ascii="Arial" w:hAnsi="Arial" w:cs="Arial"/>
                <w:lang w:val="it-IT"/>
              </w:rPr>
              <w:t xml:space="preserve"> lotto?</w:t>
            </w:r>
          </w:p>
          <w:p w14:paraId="3147C2E8" w14:textId="32776D4D" w:rsidR="003636B3" w:rsidRDefault="00A27F50" w:rsidP="00DD5804">
            <w:pPr>
              <w:pStyle w:val="Standard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Specificare la </w:t>
            </w:r>
            <w:r w:rsidR="00776774" w:rsidRPr="00776774">
              <w:rPr>
                <w:rFonts w:ascii="Arial" w:hAnsi="Arial" w:cs="Arial"/>
                <w:b/>
                <w:bCs/>
                <w:lang w:val="it-IT"/>
              </w:rPr>
              <w:t>motivazione</w:t>
            </w:r>
            <w:r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14:paraId="7BBD1BD2" w14:textId="470D868F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42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468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724F18B1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783"/>
      </w:tblGrid>
      <w:tr w:rsidR="007243AF" w14:paraId="0135BDD0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329A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2909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0BF6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5FC8DA5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ACA2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243AF" w14:paraId="6541132C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8AD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148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918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597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3070B177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7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328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240F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241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7AFAB5D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4DD6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F651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93CC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F4E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5609253E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F52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1E5A" w14:textId="77777777" w:rsidR="007243AF" w:rsidRPr="00E43D27" w:rsidRDefault="007243AF" w:rsidP="00DD5804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14:paraId="681325F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4EC5E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B85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3F14CF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69F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D0D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BD06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69FE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7D1DD1" w14:textId="77777777" w:rsidTr="00A4465D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136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4356" w14:textId="4473F52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2F918E06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BC5FE95" w14:textId="5E01871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40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B1B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14E81BBF" w14:textId="57989BB7" w:rsidR="00CA1EB0" w:rsidRPr="00E43D27" w:rsidRDefault="00CA1EB0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CA1EB0" w14:paraId="12E2178A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0A66" w14:textId="77777777" w:rsidR="00CA1EB0" w:rsidRDefault="00CA1EB0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9A50" w14:textId="77777777" w:rsidR="00CA1EB0" w:rsidRDefault="00CA1EB0" w:rsidP="00CA1EB0">
            <w:pPr>
              <w:pStyle w:val="Standard"/>
              <w:jc w:val="both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>
              <w:rPr>
                <w:rFonts w:ascii="Arial" w:hAnsi="Arial" w:cs="Arial"/>
                <w:lang w:val="it-IT"/>
              </w:rPr>
              <w:t>Sono presenti i verbali e sono completi? (riferimenti procedura, seduta pubblica, esito esame documentazione amministrativa, graduatoria)</w:t>
            </w:r>
          </w:p>
          <w:p w14:paraId="102DAB92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C293" w14:textId="77777777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66A2" w14:textId="081654F2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i verbali</w:t>
            </w:r>
          </w:p>
        </w:tc>
      </w:tr>
      <w:tr w:rsidR="007243AF" w14:paraId="2CB67DBB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B3F2" w14:textId="69D59440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F64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A1F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F713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E2ADBF2" w14:textId="77777777" w:rsidTr="00A4465D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23E5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179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5F9C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AB27" w14:textId="77777777" w:rsidR="007243AF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7243AF" w14:paraId="582B143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B88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857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9E3E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9334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3138D6E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A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8F5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EF52B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3023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DA5A1D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558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E7D4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4A8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113E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386B0FDF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DB66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B6157" w14:textId="07D996BC" w:rsidR="00A44FFD" w:rsidRDefault="007243AF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0AD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AC5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  <w:tr w:rsidR="00A44FFD" w14:paraId="0860C634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E430" w14:textId="5DCFCDDB" w:rsidR="00A44FFD" w:rsidRDefault="00A44FFD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B8B7" w14:textId="77777777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Ammissioni a seguito di soccorso istruttorio o provvedimento del giudice</w:t>
            </w:r>
          </w:p>
          <w:p w14:paraId="2A70C9EC" w14:textId="1AC341BD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3D53" w14:textId="77777777" w:rsidR="00A44FFD" w:rsidRDefault="00A44FFD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063C8" w14:textId="4216045B" w:rsidR="00A44FFD" w:rsidRDefault="00A44FFD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5F8C5F7F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21"/>
        <w:gridCol w:w="1276"/>
        <w:gridCol w:w="4783"/>
      </w:tblGrid>
      <w:tr w:rsidR="007243AF" w14:paraId="35C0F0BC" w14:textId="77777777" w:rsidTr="003236FA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719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86C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E4CB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54D268C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AAC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EC06C68" w14:textId="77777777" w:rsidTr="00A4465D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1E9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16F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03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429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9E5BE7D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BB6C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112A" w14:textId="7B6279A1" w:rsidR="007243AF" w:rsidRDefault="007243AF" w:rsidP="00A44FFD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</w:t>
            </w:r>
            <w:r w:rsidR="00A44FFD">
              <w:rPr>
                <w:rFonts w:ascii="Arial" w:hAnsi="Arial" w:cs="Arial"/>
                <w:lang w:val="it-IT"/>
              </w:rPr>
              <w:t>( artt. 81 e 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51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37BE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6475FEF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8C4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1462" w14:textId="73593F54" w:rsidR="00DD35A8" w:rsidRDefault="007243AF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speciale di cui all’art. 83 </w:t>
            </w:r>
            <w:r w:rsidR="00DD35A8">
              <w:rPr>
                <w:rFonts w:ascii="Arial" w:hAnsi="Arial" w:cs="Arial"/>
                <w:lang w:val="it-IT"/>
              </w:rPr>
              <w:t>comma 1 lett. a)</w:t>
            </w:r>
          </w:p>
          <w:p w14:paraId="01C262FE" w14:textId="746099D2" w:rsidR="00DD35A8" w:rsidRDefault="00DD35A8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83 comma 1 lett. b)</w:t>
            </w:r>
          </w:p>
          <w:p w14:paraId="6816D1C9" w14:textId="2B22799D" w:rsidR="007243AF" w:rsidRDefault="00DD35A8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83 comma 1 lett.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AF82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E5B0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BE4BDB0" w14:textId="77777777" w:rsidTr="00A4465D">
        <w:trPr>
          <w:trHeight w:val="838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80A5F" w14:textId="083FAA7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5.4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2C158" w14:textId="77777777" w:rsidR="007243AF" w:rsidRDefault="007243AF" w:rsidP="00DD5804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proofErr w:type="spellStart"/>
            <w:r>
              <w:rPr>
                <w:rFonts w:ascii="Arial" w:hAnsi="Arial" w:cs="Arial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50/2016?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016D9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960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D5EACF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DFA7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E152C" w14:textId="77777777" w:rsidR="007243AF" w:rsidRPr="00E43D27" w:rsidRDefault="007243AF" w:rsidP="00DD5804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selezione?(es.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1B7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8B7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E4963B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E79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6516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D64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A0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B21CC9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447C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F895" w14:textId="77777777" w:rsidR="007243AF" w:rsidRPr="00B65A12" w:rsidRDefault="007243AF" w:rsidP="00DD5804">
            <w:pPr>
              <w:pStyle w:val="Standard"/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B65A12">
              <w:rPr>
                <w:rFonts w:ascii="Arial" w:hAnsi="Arial" w:cs="Arial"/>
                <w:u w:val="single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1F9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4EF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BE59A2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1F1A1" w14:textId="77777777" w:rsidR="007243AF" w:rsidRPr="00E43D2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F793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B0B8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50E6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D78FE4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6CE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CB5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626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35C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704521D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1F5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2B2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0A6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91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ABD3F5C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136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38D8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90A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757B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8BEC58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4562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1D0B" w14:textId="6BC9DA0B" w:rsidR="007243AF" w:rsidRDefault="00B65A1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Inoltre </w:t>
            </w:r>
            <w:r w:rsidR="007243AF">
              <w:rPr>
                <w:rFonts w:ascii="Arial" w:hAnsi="Arial" w:cs="Arial"/>
                <w:lang w:val="it-IT"/>
              </w:rPr>
              <w:t>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E0A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10B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FAC4C12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AB1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B1A0" w14:textId="77777777" w:rsidR="007243AF" w:rsidRPr="00E43D27" w:rsidRDefault="007243AF" w:rsidP="00DD5804">
            <w:pPr>
              <w:pStyle w:val="Standard"/>
              <w:jc w:val="both"/>
              <w:rPr>
                <w:lang w:val="it-IT"/>
              </w:rPr>
            </w:pPr>
            <w:r w:rsidRPr="00E43D27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355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52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E82957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F0F9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6DB7" w14:textId="77777777" w:rsidR="007243AF" w:rsidRPr="00E43D27" w:rsidRDefault="007243AF" w:rsidP="00DD5804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F4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1A8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4A9BF6DB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E48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5F71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3F84656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5533D20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133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09CD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8F1E79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134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CEA9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2EDED58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35B2755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11A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1016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0BFCCE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E969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3AE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14:paraId="62E0EA4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BC5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B8DC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5C72363F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3E4" w14:textId="3C4C97FF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856B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  <w:p w14:paraId="4671D6E8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E5D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4A09C" w14:textId="3B8362F2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241A5F3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B1E6" w14:textId="1EDA5C4D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93E8" w14:textId="56426C7C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EC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27C" w14:textId="73084604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043A8" w14:paraId="2D680D9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BA7E" w14:textId="1E771049" w:rsidR="00D043A8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974D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  <w:p w14:paraId="67B76FA1" w14:textId="02C53491" w:rsidR="00D043A8" w:rsidRDefault="00D043A8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5712" w14:textId="77777777" w:rsidR="00D043A8" w:rsidRDefault="00D043A8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1061" w14:textId="66F9DFC1" w:rsidR="00D043A8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582F8DD9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0F0A1" w14:textId="2B896229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C3DCF" w14:textId="6A06922B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presentate offerte anormalmente basse ai sensi delle modifiche apportate all'art. 97?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08A3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43845" w14:textId="12C461A4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6B98B08A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8D658" w14:textId="77777777" w:rsidR="008539EE" w:rsidRPr="00E43D27" w:rsidRDefault="008539EE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3CFE6" w14:textId="467FCF4F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93E8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5ED9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539EE" w14:paraId="76FA086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B7AAF" w14:textId="0A651EFF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E71DA" w14:textId="123E22F8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28FB5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018F3" w14:textId="04BEB05B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02C3247D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8B65" w14:textId="7F3B83DD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D8711" w14:textId="5B654A89" w:rsidR="008539EE" w:rsidRPr="00615013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decisione di approvare o respingere tali offerte è stata adeguatamente motivata dalla stazione appaltante?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8E2A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A5D1" w14:textId="67C512B3" w:rsidR="008539EE" w:rsidRDefault="00DD5804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15013" w14:paraId="057B09EB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96BA" w14:textId="25F34C52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5D516" w14:textId="15DCE61C" w:rsidR="00615013" w:rsidRPr="00B65A12" w:rsidRDefault="00615013" w:rsidP="00DD5804">
            <w:pPr>
              <w:pStyle w:val="Standard"/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B65A12">
              <w:rPr>
                <w:rFonts w:ascii="Arial" w:hAnsi="Arial" w:cs="Arial"/>
                <w:u w:val="single"/>
                <w:lang w:val="it-IT"/>
              </w:rPr>
              <w:t>Il contratto è stato aggiudicato sulla base del criterio del minor prezzo?</w:t>
            </w:r>
          </w:p>
          <w:p w14:paraId="32A751C9" w14:textId="569B9D29" w:rsidR="00615013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5B5E" w14:textId="77777777" w:rsidR="00615013" w:rsidRDefault="00615013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0CB4" w14:textId="77777777" w:rsidR="00615013" w:rsidRDefault="00615013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15013" w14:paraId="05E36EC7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52A4" w14:textId="7CDFA1FD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64B6C" w14:textId="06A7EEEF" w:rsidR="00615013" w:rsidRPr="00615013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</w:t>
            </w:r>
            <w:r w:rsidR="00B65A12">
              <w:rPr>
                <w:rFonts w:ascii="Arial" w:hAnsi="Arial" w:cs="Arial"/>
                <w:lang w:val="it-IT"/>
              </w:rPr>
              <w:t>modifiche apportate all'art. 97?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85303" w14:textId="77777777" w:rsidR="00615013" w:rsidRDefault="00615013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57FC5" w14:textId="7218D165" w:rsidR="00615013" w:rsidRDefault="00DD5804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15013" w14:paraId="45D9E308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A68C6" w14:textId="482C1D19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AB5B" w14:textId="1E6F49AC" w:rsidR="008539EE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</w:t>
            </w:r>
            <w:r w:rsidR="008539EE">
              <w:rPr>
                <w:rFonts w:ascii="Arial" w:hAnsi="Arial" w:cs="Arial"/>
                <w:lang w:val="it-IT"/>
              </w:rPr>
              <w:t>, quale dei seguenti casi ricorre:</w:t>
            </w:r>
          </w:p>
          <w:p w14:paraId="76556899" w14:textId="3CFBEBA0" w:rsidR="00615013" w:rsidRDefault="008539EE" w:rsidP="00DD580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numero delle offerte ammesse è pari</w:t>
            </w:r>
            <w:r w:rsidR="005A3E91">
              <w:rPr>
                <w:rFonts w:ascii="Arial" w:hAnsi="Arial" w:cs="Arial"/>
                <w:lang w:val="it-IT"/>
              </w:rPr>
              <w:t xml:space="preserve"> o superiore a quindici, di cui all’art. 97 comma 2</w:t>
            </w:r>
          </w:p>
          <w:p w14:paraId="39F2EEB2" w14:textId="034AE44D" w:rsidR="005A3E91" w:rsidRDefault="005A3E91" w:rsidP="00DD580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numero delle offerte ammesse è inferiore a quindici, di cui all’art. 97 comma 2-bis</w:t>
            </w:r>
          </w:p>
          <w:p w14:paraId="41621F50" w14:textId="3A62AB61" w:rsidR="005A3E91" w:rsidRDefault="005A3E91" w:rsidP="00DD5804">
            <w:pPr>
              <w:pStyle w:val="Standard"/>
              <w:ind w:left="72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8206C" w14:textId="4B174B5F" w:rsidR="00615013" w:rsidRDefault="004F666C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B058" w14:textId="77777777" w:rsidR="00615013" w:rsidRDefault="00615013" w:rsidP="004F666C">
            <w:pPr>
              <w:pStyle w:val="NormaleWeb"/>
              <w:spacing w:before="0" w:beforeAutospacing="0" w:after="336" w:afterAutospacing="0" w:line="357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615013" w14:paraId="0E1FF802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EDD6" w14:textId="5301529D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219D3" w14:textId="7EEB4159" w:rsidR="007D50B5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inserito nel bando</w:t>
            </w:r>
            <w:r w:rsidR="007D50B5">
              <w:rPr>
                <w:rFonts w:ascii="Arial" w:hAnsi="Arial" w:cs="Arial"/>
                <w:lang w:val="it-IT"/>
              </w:rPr>
              <w:t xml:space="preserve"> la previsione dell’</w:t>
            </w:r>
            <w:r w:rsidRPr="00615013">
              <w:rPr>
                <w:rFonts w:ascii="Arial" w:hAnsi="Arial" w:cs="Arial"/>
                <w:lang w:val="it-IT"/>
              </w:rPr>
              <w:t>esclusione automatica delle offerte</w:t>
            </w:r>
            <w:r w:rsidR="007D50B5">
              <w:rPr>
                <w:rFonts w:ascii="Arial" w:hAnsi="Arial" w:cs="Arial"/>
                <w:lang w:val="it-IT"/>
              </w:rPr>
              <w:t xml:space="preserve"> anomale</w:t>
            </w:r>
            <w:r w:rsidR="003A2392">
              <w:rPr>
                <w:rFonts w:ascii="Arial" w:hAnsi="Arial" w:cs="Arial"/>
                <w:lang w:val="it-IT"/>
              </w:rPr>
              <w:t>, solo se rispondenti alle condizioni di cui all’art. 97 comma 8</w:t>
            </w:r>
            <w:r w:rsidR="007D50B5">
              <w:rPr>
                <w:rFonts w:ascii="Arial" w:hAnsi="Arial" w:cs="Arial"/>
                <w:lang w:val="it-IT"/>
              </w:rPr>
              <w:t>?</w:t>
            </w:r>
            <w:r w:rsidR="004F666C">
              <w:rPr>
                <w:rFonts w:ascii="Arial" w:hAnsi="Arial" w:cs="Arial"/>
                <w:lang w:val="it-IT"/>
              </w:rPr>
              <w:t xml:space="preserve"> (</w:t>
            </w:r>
            <w:r w:rsidR="004F666C" w:rsidRPr="004F666C">
              <w:rPr>
                <w:rFonts w:ascii="Arial" w:hAnsi="Arial" w:cs="Arial"/>
                <w:lang w:val="it-IT"/>
              </w:rPr>
              <w:t>esclusione non applicabile quando il numero delle offerte ammesse è inferiore a dieci)</w:t>
            </w:r>
          </w:p>
          <w:p w14:paraId="40383133" w14:textId="2301C808" w:rsidR="003A2392" w:rsidRDefault="003A2392" w:rsidP="00DD580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Criterio del prezzo più basso</w:t>
            </w:r>
          </w:p>
          <w:p w14:paraId="16638D30" w14:textId="6F684144" w:rsidR="003A2392" w:rsidRDefault="003A2392" w:rsidP="00DD580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Procedura dal valore inferiore alle soglie di cui all’art. 35</w:t>
            </w:r>
          </w:p>
          <w:p w14:paraId="0BDDEC02" w14:textId="7FB4D871" w:rsidR="00615013" w:rsidRPr="003A2392" w:rsidRDefault="003A2392" w:rsidP="00DD580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Assenza di un carattere transfrontaliero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3C438" w14:textId="77777777" w:rsidR="00615013" w:rsidRDefault="00615013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B7ABA" w14:textId="77777777" w:rsidR="00615013" w:rsidRDefault="00615013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75C1C662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FDFF" w14:textId="1A34A7FF" w:rsidR="007243AF" w:rsidRDefault="007243AF" w:rsidP="00B65A12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</w:t>
            </w:r>
            <w:r w:rsidR="00B65A12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179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11B1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8A79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17CFAC70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93EA" w14:textId="2E0978AC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B65A12">
              <w:rPr>
                <w:rFonts w:ascii="Arial" w:hAnsi="Arial" w:cs="Arial"/>
              </w:rPr>
              <w:t>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B4AA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453BCFE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4FC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4960" w14:textId="16C08678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DD5804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4AE475FE" w14:textId="77777777" w:rsidTr="00A4465D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6FFE2" w14:textId="4830F5DC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B65A12">
              <w:rPr>
                <w:rFonts w:ascii="Arial" w:hAnsi="Arial" w:cs="Arial"/>
              </w:rPr>
              <w:t>20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47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F029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294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4FDEB441" w14:textId="3ADD0DF2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D6CC080" w14:textId="3F68E9D8" w:rsidR="00280975" w:rsidRDefault="00280975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6DFD6B7" w14:textId="77777777" w:rsidR="00280975" w:rsidRDefault="00280975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082D5768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11E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BC0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Subappalto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B627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537C1B1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7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20CD167" w14:textId="77777777" w:rsidTr="00A4465D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E4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E88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CDD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C2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147EA" w14:paraId="1CE564D9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04BB" w14:textId="7226D3EB" w:rsidR="00F147EA" w:rsidRDefault="00E8208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447C" w14:textId="38AAFCF0" w:rsidR="00F147EA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lang w:val="it-IT"/>
              </w:rPr>
              <w:t>E’ evidenziato nei documenti di gara la quota massima delle prestazioni subapp</w:t>
            </w:r>
            <w:r w:rsidR="00503ED3">
              <w:rPr>
                <w:rFonts w:ascii="Arial" w:hAnsi="Arial" w:cs="Arial"/>
                <w:lang w:val="it-IT"/>
              </w:rPr>
              <w:t>a</w:t>
            </w:r>
            <w:r w:rsidRPr="00E8208F">
              <w:rPr>
                <w:rFonts w:ascii="Arial" w:hAnsi="Arial" w:cs="Arial"/>
                <w:lang w:val="it-IT"/>
              </w:rPr>
              <w:t>ltabili</w:t>
            </w:r>
            <w:r w:rsidR="00503ED3">
              <w:rPr>
                <w:rFonts w:ascii="Arial" w:hAnsi="Arial" w:cs="Arial"/>
                <w:lang w:val="it-IT"/>
              </w:rPr>
              <w:t>,</w:t>
            </w:r>
            <w:r w:rsidRPr="00E8208F">
              <w:rPr>
                <w:rFonts w:ascii="Arial" w:hAnsi="Arial" w:cs="Arial"/>
                <w:lang w:val="it-IT"/>
              </w:rPr>
              <w:t xml:space="preserve"> al tetto del 40% 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3EFC" w14:textId="77777777" w:rsidR="00F147EA" w:rsidRDefault="00F147E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91FCA" w14:textId="38BE2E9C" w:rsidR="00F147EA" w:rsidRDefault="00E8208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487F13" w14:paraId="0331ABF7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3383C" w14:textId="51173B32" w:rsidR="00487F13" w:rsidRDefault="001F05F8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7BDF1" w14:textId="77777777" w:rsidR="00487F13" w:rsidRDefault="00487F13" w:rsidP="00487F1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3F1E9587" w14:textId="77777777" w:rsidR="00487F13" w:rsidRDefault="00487F13" w:rsidP="00487F13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35B20C1" w14:textId="77777777" w:rsidR="00487F13" w:rsidRDefault="00487F13" w:rsidP="00487F1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1" w:tgtFrame="_blank" w:history="1">
              <w:r>
                <w:rPr>
                  <w:rStyle w:val="Collegamentoipertestuale"/>
                  <w:rFonts w:ascii="Arial" w:hAnsi="Arial" w:cs="Arial"/>
                  <w:b/>
                  <w:bCs/>
                  <w:lang w:val="it-IT"/>
                </w:rPr>
                <w:t>sentenza 26 settembre 2019, causa C-63/18</w:t>
              </w:r>
            </w:hyperlink>
            <w:r>
              <w:rPr>
                <w:rFonts w:ascii="Arial" w:hAnsi="Arial" w:cs="Arial"/>
                <w:b/>
                <w:bCs/>
                <w:lang w:val="it-IT"/>
              </w:rPr>
              <w:t> e </w:t>
            </w:r>
            <w:hyperlink r:id="rId12" w:tgtFrame="_blank" w:history="1">
              <w:r>
                <w:rPr>
                  <w:rStyle w:val="Collegamentoipertestuale"/>
                  <w:rFonts w:ascii="Arial" w:hAnsi="Arial" w:cs="Arial"/>
                  <w:b/>
                  <w:bCs/>
                  <w:lang w:val="it-IT"/>
                </w:rPr>
                <w:t>sentenza 27 novembre 2019, C-402/18</w:t>
              </w:r>
            </w:hyperlink>
            <w:r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14:paraId="0C21278C" w14:textId="77777777" w:rsidR="00487F13" w:rsidRPr="00E8208F" w:rsidRDefault="00487F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DFDA" w14:textId="77777777" w:rsidR="00487F13" w:rsidRDefault="00487F13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9EAA" w14:textId="40D23923" w:rsidR="00487F13" w:rsidRDefault="00224946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A26F27" w14:paraId="671E59C9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FFDC" w14:textId="3DFD7131" w:rsidR="00A26F27" w:rsidRDefault="00224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48704" w14:textId="77777777" w:rsidR="00A26F27" w:rsidRDefault="00A26F27" w:rsidP="00A26F2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un interesse transfrontaliero certo dell’operazione co-finanziata? </w:t>
            </w:r>
          </w:p>
          <w:p w14:paraId="2FE0742A" w14:textId="77777777" w:rsidR="00A26F27" w:rsidRDefault="00A26F27" w:rsidP="00487F13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52F8C" w14:textId="77777777" w:rsidR="00A26F27" w:rsidRDefault="00A26F27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DE1DB" w14:textId="5BE6CDDA" w:rsidR="00A26F27" w:rsidRDefault="00224946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5E6FCBC" w14:textId="77777777" w:rsidTr="007243AF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3F3F" w14:textId="6A421402" w:rsidR="007243AF" w:rsidRDefault="00224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D4594" w14:textId="65A1460C" w:rsidR="00E8208F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79E94420" w14:textId="609924E9" w:rsidR="00E8208F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i/>
                <w:lang w:val="it-IT"/>
              </w:rPr>
              <w:t>(</w:t>
            </w:r>
            <w:r w:rsidR="007243AF" w:rsidRPr="00E8208F">
              <w:rPr>
                <w:rFonts w:ascii="Arial" w:hAnsi="Arial" w:cs="Arial"/>
                <w:i/>
                <w:lang w:val="it-IT"/>
              </w:rPr>
              <w:t xml:space="preserve">Nel caso di appalti di lavori per i quali non sia necessario una particolare specializzazione, è stato fatto obbligo di indicare una terna </w:t>
            </w:r>
            <w:r w:rsidRPr="00E8208F">
              <w:rPr>
                <w:rFonts w:ascii="Arial" w:hAnsi="Arial" w:cs="Arial"/>
                <w:i/>
                <w:lang w:val="it-IT"/>
              </w:rPr>
              <w:t>di subappaltatori</w:t>
            </w:r>
            <w:r w:rsidR="00170EF4">
              <w:rPr>
                <w:rFonts w:ascii="Arial" w:hAnsi="Arial" w:cs="Arial"/>
                <w:i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839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A21F" w14:textId="6C905B44" w:rsidR="00E8208F" w:rsidRDefault="00E8208F" w:rsidP="00E8208F">
            <w:pPr>
              <w:pStyle w:val="Standard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 w:rsidRPr="00E8208F">
              <w:rPr>
                <w:rFonts w:ascii="Arial" w:hAnsi="Arial" w:cs="Arial"/>
                <w:b/>
                <w:lang w:val="it-IT"/>
              </w:rPr>
              <w:t>Sospeso il comma 6 dell’art. 105 con il quale si obbliga di indicare la terna di subappaltatori in sede di offerta</w:t>
            </w:r>
            <w:r w:rsidR="00170EF4">
              <w:rPr>
                <w:rFonts w:ascii="Arial" w:hAnsi="Arial" w:cs="Arial"/>
                <w:b/>
                <w:lang w:val="it-IT"/>
              </w:rPr>
              <w:t>.</w:t>
            </w:r>
          </w:p>
          <w:p w14:paraId="40AF734C" w14:textId="67FCB241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3849C1B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6EC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576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E4F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8E9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6F5B38F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979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474C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239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8F5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CB7574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6477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B9B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5023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E1A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13A3677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A12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4AD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4C78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C9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4641539A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48E08CB5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0B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90F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4A1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75F3A71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B6D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67BF9618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2C8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1F08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3785165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7541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19E38" w14:textId="5174063C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743B06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601E23CC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090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655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2FE2426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A18B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2561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4F96CAA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028B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702F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14:paraId="767AB6B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5CBF9E22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265A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38A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56826DA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AA10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7420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6620A18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90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E1E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14:paraId="77A7422C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77B268E3" w14:textId="77777777" w:rsidTr="007243AF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8F0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529F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4506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AE0D7E9" w14:textId="77777777" w:rsidR="007243AF" w:rsidRPr="00E43D2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7F29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F6928F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ECB1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30A9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18E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127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7295A590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5350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B784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0D8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03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2DAF43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7A4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BE1A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A9D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E428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0C4136D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73C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2D53F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B8DE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FC3B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3D61F9E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359C" w14:textId="77777777" w:rsidR="007243AF" w:rsidRPr="00E43D2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762A2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CD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EA0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0803A1BC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6B0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F263B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A50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30E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8FA965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4E2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362D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2E9A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A3EE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40D670A7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49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C9977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2B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225E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1A56C741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C7DE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7BCF8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683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AB99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7441EC4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6C4B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2129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dell’ 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C75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DE75E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54EFDB8E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EFD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8931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F3D0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542C9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2F2612C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BBD1" w14:textId="77777777" w:rsidR="007243AF" w:rsidRPr="00E43D2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039D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6A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748C" w14:textId="77777777" w:rsidR="007243AF" w:rsidRDefault="007243AF" w:rsidP="007243AF">
            <w:pPr>
              <w:pStyle w:val="Standard"/>
            </w:pPr>
          </w:p>
        </w:tc>
      </w:tr>
      <w:tr w:rsidR="007243AF" w14:paraId="4DD39A29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B0FB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EA5E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F5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9223F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601344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DF7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BE25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96A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0199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60B236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D28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28B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934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D75E" w14:textId="77777777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8D620B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736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CEE1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3C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6548A" w14:textId="27A570C6" w:rsidR="007243AF" w:rsidRPr="00E43D2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  <w:r w:rsidR="00A17341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</w:tbl>
    <w:p w14:paraId="19B25D4F" w14:textId="77777777" w:rsidR="00E110CD" w:rsidRDefault="00E110CD" w:rsidP="00E62F2F"/>
    <w:sectPr w:rsidR="00E110CD" w:rsidSect="00724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839B" w14:textId="77777777" w:rsidR="00180B79" w:rsidRDefault="00180B79">
      <w:pPr>
        <w:spacing w:before="0" w:after="0" w:line="240" w:lineRule="auto"/>
      </w:pPr>
      <w:r>
        <w:separator/>
      </w:r>
    </w:p>
  </w:endnote>
  <w:endnote w:type="continuationSeparator" w:id="0">
    <w:p w14:paraId="288EE4DD" w14:textId="77777777" w:rsidR="00180B79" w:rsidRDefault="00180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85225A" w14:paraId="773F99B5" w14:textId="77777777" w:rsidTr="00C135A5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576F9289" w14:textId="4BBB6610" w:rsidR="0085225A" w:rsidRPr="00A01B50" w:rsidRDefault="0085225A" w:rsidP="00AB2D3B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C60010">
            <w:rPr>
              <w:i/>
              <w:sz w:val="16"/>
              <w:szCs w:val="16"/>
            </w:rPr>
            <w:t>settembre</w:t>
          </w:r>
          <w:r>
            <w:rPr>
              <w:i/>
              <w:sz w:val="16"/>
              <w:szCs w:val="16"/>
            </w:rPr>
            <w:t xml:space="preserve"> 202</w:t>
          </w:r>
          <w:r w:rsidR="00C60010">
            <w:rPr>
              <w:i/>
              <w:sz w:val="16"/>
              <w:szCs w:val="16"/>
            </w:rPr>
            <w:t>1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6E55823D" w14:textId="7526F62E" w:rsidR="0085225A" w:rsidRPr="0051552A" w:rsidRDefault="0085225A" w:rsidP="008E7F07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6172414A" w14:textId="6BB73C02" w:rsidR="0085225A" w:rsidRDefault="0085225A" w:rsidP="008E7F0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80975">
                <w:rPr>
                  <w:noProof/>
                </w:rPr>
                <w:t>6</w:t>
              </w:r>
              <w:r>
                <w:fldChar w:fldCharType="end"/>
              </w:r>
            </w:p>
          </w:sdtContent>
        </w:sdt>
      </w:tc>
    </w:tr>
  </w:tbl>
  <w:p w14:paraId="5DF8AF2F" w14:textId="77777777" w:rsidR="0085225A" w:rsidRDefault="0085225A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8FBF" w14:textId="77777777" w:rsidR="00180B79" w:rsidRDefault="00180B79">
      <w:pPr>
        <w:spacing w:before="0" w:after="0" w:line="240" w:lineRule="auto"/>
      </w:pPr>
      <w:r>
        <w:separator/>
      </w:r>
    </w:p>
  </w:footnote>
  <w:footnote w:type="continuationSeparator" w:id="0">
    <w:p w14:paraId="44E634EA" w14:textId="77777777" w:rsidR="00180B79" w:rsidRDefault="00180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D2"/>
    <w:multiLevelType w:val="hybridMultilevel"/>
    <w:tmpl w:val="4C72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B83"/>
    <w:multiLevelType w:val="multilevel"/>
    <w:tmpl w:val="14B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4445"/>
    <w:multiLevelType w:val="hybridMultilevel"/>
    <w:tmpl w:val="B06E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56E6"/>
    <w:multiLevelType w:val="hybridMultilevel"/>
    <w:tmpl w:val="1270C9F0"/>
    <w:lvl w:ilvl="0" w:tplc="FB3830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461E4"/>
    <w:multiLevelType w:val="hybridMultilevel"/>
    <w:tmpl w:val="78DE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A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2AAB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B5D29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0EF4"/>
    <w:rsid w:val="001715D3"/>
    <w:rsid w:val="00174B78"/>
    <w:rsid w:val="00175B3F"/>
    <w:rsid w:val="0017649C"/>
    <w:rsid w:val="00176DE0"/>
    <w:rsid w:val="0017761B"/>
    <w:rsid w:val="00180897"/>
    <w:rsid w:val="00180B79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596"/>
    <w:rsid w:val="001D7B43"/>
    <w:rsid w:val="001E5B7E"/>
    <w:rsid w:val="001F05F8"/>
    <w:rsid w:val="001F2711"/>
    <w:rsid w:val="00203FAE"/>
    <w:rsid w:val="002167E9"/>
    <w:rsid w:val="002175EC"/>
    <w:rsid w:val="00217D35"/>
    <w:rsid w:val="00222E6B"/>
    <w:rsid w:val="00224946"/>
    <w:rsid w:val="0022568A"/>
    <w:rsid w:val="0022739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975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B6DA5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1D8D"/>
    <w:rsid w:val="0030206F"/>
    <w:rsid w:val="003074CE"/>
    <w:rsid w:val="00310C54"/>
    <w:rsid w:val="00322314"/>
    <w:rsid w:val="00322A2C"/>
    <w:rsid w:val="003236FA"/>
    <w:rsid w:val="00323BF1"/>
    <w:rsid w:val="00327CA1"/>
    <w:rsid w:val="003305E8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36B3"/>
    <w:rsid w:val="00371A0D"/>
    <w:rsid w:val="00373E82"/>
    <w:rsid w:val="00380ADF"/>
    <w:rsid w:val="00381E53"/>
    <w:rsid w:val="003871F8"/>
    <w:rsid w:val="00396355"/>
    <w:rsid w:val="003A2392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148E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87F13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666C"/>
    <w:rsid w:val="004F7C0B"/>
    <w:rsid w:val="004F7DE9"/>
    <w:rsid w:val="005009C6"/>
    <w:rsid w:val="00501B02"/>
    <w:rsid w:val="00503ED3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AB9"/>
    <w:rsid w:val="00540CC6"/>
    <w:rsid w:val="00542005"/>
    <w:rsid w:val="00543524"/>
    <w:rsid w:val="00543996"/>
    <w:rsid w:val="0054411F"/>
    <w:rsid w:val="00547FA1"/>
    <w:rsid w:val="00553C84"/>
    <w:rsid w:val="00555720"/>
    <w:rsid w:val="005566FB"/>
    <w:rsid w:val="0055688E"/>
    <w:rsid w:val="0056240C"/>
    <w:rsid w:val="005701B5"/>
    <w:rsid w:val="00573595"/>
    <w:rsid w:val="00574717"/>
    <w:rsid w:val="005861EC"/>
    <w:rsid w:val="00586491"/>
    <w:rsid w:val="00590A0B"/>
    <w:rsid w:val="00593039"/>
    <w:rsid w:val="00595A50"/>
    <w:rsid w:val="00596BE0"/>
    <w:rsid w:val="00597623"/>
    <w:rsid w:val="005A1F10"/>
    <w:rsid w:val="005A3E91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15013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A6411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243AF"/>
    <w:rsid w:val="00731FB3"/>
    <w:rsid w:val="007337FE"/>
    <w:rsid w:val="00740E70"/>
    <w:rsid w:val="00741C91"/>
    <w:rsid w:val="00743B06"/>
    <w:rsid w:val="00744BB8"/>
    <w:rsid w:val="007479B4"/>
    <w:rsid w:val="00756E1F"/>
    <w:rsid w:val="00756F6B"/>
    <w:rsid w:val="00762FE6"/>
    <w:rsid w:val="00766EF8"/>
    <w:rsid w:val="00773766"/>
    <w:rsid w:val="00773F68"/>
    <w:rsid w:val="00776774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3C3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D50B5"/>
    <w:rsid w:val="007D6DF3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25A"/>
    <w:rsid w:val="0085314B"/>
    <w:rsid w:val="008539EE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E7F07"/>
    <w:rsid w:val="008F6067"/>
    <w:rsid w:val="008F60AA"/>
    <w:rsid w:val="0090338C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2B6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07592"/>
    <w:rsid w:val="00A11CC9"/>
    <w:rsid w:val="00A1350A"/>
    <w:rsid w:val="00A13702"/>
    <w:rsid w:val="00A14146"/>
    <w:rsid w:val="00A164F0"/>
    <w:rsid w:val="00A17341"/>
    <w:rsid w:val="00A174CC"/>
    <w:rsid w:val="00A20F72"/>
    <w:rsid w:val="00A21B98"/>
    <w:rsid w:val="00A244C1"/>
    <w:rsid w:val="00A2623F"/>
    <w:rsid w:val="00A26B2B"/>
    <w:rsid w:val="00A26F27"/>
    <w:rsid w:val="00A26F42"/>
    <w:rsid w:val="00A27F50"/>
    <w:rsid w:val="00A32032"/>
    <w:rsid w:val="00A33C8E"/>
    <w:rsid w:val="00A33E46"/>
    <w:rsid w:val="00A34277"/>
    <w:rsid w:val="00A41EE2"/>
    <w:rsid w:val="00A4465D"/>
    <w:rsid w:val="00A44FFD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624E"/>
    <w:rsid w:val="00AB03F5"/>
    <w:rsid w:val="00AB064E"/>
    <w:rsid w:val="00AB1B83"/>
    <w:rsid w:val="00AB1D06"/>
    <w:rsid w:val="00AB22E1"/>
    <w:rsid w:val="00AB2D3B"/>
    <w:rsid w:val="00AB3E4D"/>
    <w:rsid w:val="00AC0179"/>
    <w:rsid w:val="00AC0A67"/>
    <w:rsid w:val="00AC1D54"/>
    <w:rsid w:val="00AC3032"/>
    <w:rsid w:val="00AC3265"/>
    <w:rsid w:val="00AC40C9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65A12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5A5"/>
    <w:rsid w:val="00C13BEE"/>
    <w:rsid w:val="00C17315"/>
    <w:rsid w:val="00C17CA2"/>
    <w:rsid w:val="00C20150"/>
    <w:rsid w:val="00C2427A"/>
    <w:rsid w:val="00C27807"/>
    <w:rsid w:val="00C32DD7"/>
    <w:rsid w:val="00C351DB"/>
    <w:rsid w:val="00C37980"/>
    <w:rsid w:val="00C37CA6"/>
    <w:rsid w:val="00C37F92"/>
    <w:rsid w:val="00C436A3"/>
    <w:rsid w:val="00C4504C"/>
    <w:rsid w:val="00C47C44"/>
    <w:rsid w:val="00C52365"/>
    <w:rsid w:val="00C60010"/>
    <w:rsid w:val="00C6524E"/>
    <w:rsid w:val="00C71085"/>
    <w:rsid w:val="00C720A6"/>
    <w:rsid w:val="00C75995"/>
    <w:rsid w:val="00C846EF"/>
    <w:rsid w:val="00C917CB"/>
    <w:rsid w:val="00C91FA7"/>
    <w:rsid w:val="00C93A8D"/>
    <w:rsid w:val="00CA1EB0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76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43A8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97E3D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35A8"/>
    <w:rsid w:val="00DD5804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D27"/>
    <w:rsid w:val="00E43E08"/>
    <w:rsid w:val="00E448B2"/>
    <w:rsid w:val="00E44D09"/>
    <w:rsid w:val="00E4607B"/>
    <w:rsid w:val="00E511AD"/>
    <w:rsid w:val="00E55493"/>
    <w:rsid w:val="00E55E19"/>
    <w:rsid w:val="00E5713B"/>
    <w:rsid w:val="00E62F2F"/>
    <w:rsid w:val="00E649A3"/>
    <w:rsid w:val="00E738C8"/>
    <w:rsid w:val="00E74F42"/>
    <w:rsid w:val="00E7501E"/>
    <w:rsid w:val="00E8208F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79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47EA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6B13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E2CC5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E17"/>
  <w15:chartTrackingRefBased/>
  <w15:docId w15:val="{5088DF4C-221E-42AD-88D2-E1B8E4A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3AF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43AF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3AF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7F0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07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E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76774"/>
    <w:rPr>
      <w:b/>
      <w:bCs/>
    </w:rPr>
  </w:style>
  <w:style w:type="character" w:styleId="Enfasicorsivo">
    <w:name w:val="Emphasis"/>
    <w:basedOn w:val="Carpredefinitoparagrafo"/>
    <w:uiPriority w:val="20"/>
    <w:qFormat/>
    <w:rsid w:val="006150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1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3E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97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voripubblici.it/normativa/20191127/Sentenza-Corte-di-Giustizia-UE-27-novembre-2019-C-402-18-1906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823E1-6F5B-41F5-934F-C203B82DB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E370F-C8F2-470B-B3E7-95757F04D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D7278-E5CE-48AC-B2C8-DB5C41B2B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Stefania Fabbri</cp:lastModifiedBy>
  <cp:revision>11</cp:revision>
  <cp:lastPrinted>2020-02-19T08:35:00Z</cp:lastPrinted>
  <dcterms:created xsi:type="dcterms:W3CDTF">2021-09-28T13:12:00Z</dcterms:created>
  <dcterms:modified xsi:type="dcterms:W3CDTF">2021-09-28T13:20:00Z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