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B9" w:rsidRDefault="00391DB9" w:rsidP="00391DB9">
      <w:pPr>
        <w:autoSpaceDE w:val="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85"/>
        <w:gridCol w:w="40"/>
        <w:gridCol w:w="2468"/>
        <w:gridCol w:w="83"/>
        <w:gridCol w:w="2208"/>
        <w:gridCol w:w="60"/>
        <w:gridCol w:w="2232"/>
        <w:gridCol w:w="36"/>
        <w:gridCol w:w="2255"/>
        <w:gridCol w:w="13"/>
        <w:gridCol w:w="2374"/>
      </w:tblGrid>
      <w:tr w:rsidR="00391DB9" w:rsidTr="0067072F">
        <w:trPr>
          <w:jc w:val="center"/>
        </w:trPr>
        <w:tc>
          <w:tcPr>
            <w:tcW w:w="1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DB9" w:rsidRDefault="00391DB9" w:rsidP="00670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 procedurale – Procedure per l’affidamento dei contratti pubblici di importo inferiore alle soglie di rilevanza comunitaria</w:t>
            </w:r>
          </w:p>
          <w:p w:rsidR="00391DB9" w:rsidRDefault="00391DB9" w:rsidP="0067072F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AGGIORNATA 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D.Lgs.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56/2017</w:t>
            </w:r>
          </w:p>
        </w:tc>
      </w:tr>
      <w:tr w:rsidR="00391DB9" w:rsidTr="0067072F">
        <w:trPr>
          <w:jc w:val="center"/>
        </w:trPr>
        <w:tc>
          <w:tcPr>
            <w:tcW w:w="1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DB9" w:rsidRDefault="00391DB9" w:rsidP="0067072F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CHECKLIST N. 2.1a – SERVIZI - FORNITURE.</w:t>
            </w:r>
          </w:p>
          <w:p w:rsidR="00391DB9" w:rsidRDefault="00391DB9" w:rsidP="0067072F">
            <w:pPr>
              <w:pStyle w:val="Standard"/>
              <w:spacing w:before="60" w:after="60" w:line="320" w:lineRule="atLeast"/>
              <w:jc w:val="center"/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PROCEDURA NEGOZIATA PER L’AFFIDAMENTO DI CONTRATTI DI </w:t>
            </w:r>
            <w:r>
              <w:rPr>
                <w:rFonts w:ascii="Arial" w:hAnsi="Arial" w:cs="Arial"/>
                <w:b/>
                <w:bCs/>
                <w:u w:val="single"/>
                <w:lang w:val="it-IT"/>
              </w:rPr>
              <w:t>SERVIZI E FORNITURE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DI IMPORTI SUPERIORI A 40.000,00 EURO E INFERIORI ALLE SOGLIE DI RILEVANZA COMUNITARIA DI CUI ALL’ART. 35 – Procedura negoziata</w:t>
            </w:r>
          </w:p>
        </w:tc>
      </w:tr>
      <w:tr w:rsidR="00391DB9" w:rsidTr="0067072F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DB9" w:rsidRDefault="00391DB9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21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B9" w:rsidRDefault="00391DB9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91DB9" w:rsidTr="0067072F">
        <w:trPr>
          <w:jc w:val="center"/>
        </w:trPr>
        <w:tc>
          <w:tcPr>
            <w:tcW w:w="1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DB9" w:rsidRDefault="00391DB9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391DB9" w:rsidTr="0067072F">
        <w:trPr>
          <w:jc w:val="center"/>
        </w:trPr>
        <w:tc>
          <w:tcPr>
            <w:tcW w:w="1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DB9" w:rsidRDefault="00391DB9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Art. 37 – Nel caso la Stazione appaltante sia un Comune non capoluogo di Provincia, l’acquisizione di lavori è avvenuta secondo le modalità previste dall’art. 37 co. 4</w:t>
            </w:r>
          </w:p>
        </w:tc>
      </w:tr>
      <w:tr w:rsidR="00391DB9" w:rsidTr="0067072F">
        <w:trPr>
          <w:jc w:val="center"/>
        </w:trPr>
        <w:tc>
          <w:tcPr>
            <w:tcW w:w="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B9" w:rsidRDefault="00391DB9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Ricorrendo ad una Centrale di committenza o a soggetti aggregatori qualificati.</w:t>
            </w:r>
          </w:p>
        </w:tc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DB9" w:rsidRDefault="00391DB9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Mediante unioni di Comuni costituite o qualificate come Centrali di committenza o associandosi o consorziandosi in Centrali di committenza.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DB9" w:rsidRDefault="00391DB9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Ricorrendo alla stazione unica appaltante costituita presso le province, le città metropolitane e gli enti di area vasta ai sensi della legge 7 aprile 2014, n. 56.</w:t>
            </w:r>
          </w:p>
          <w:p w:rsidR="00391DB9" w:rsidRDefault="00391DB9" w:rsidP="0067072F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Disposizione modificata di cui all’art.37 co.4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>)</w:t>
            </w:r>
          </w:p>
        </w:tc>
      </w:tr>
      <w:tr w:rsidR="00391DB9" w:rsidTr="0067072F">
        <w:trPr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DB9" w:rsidRDefault="00391DB9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SI - NO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DB9" w:rsidRDefault="00391DB9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DB9" w:rsidRDefault="00391DB9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SI - NO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DB9" w:rsidRDefault="00391DB9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DB9" w:rsidRDefault="00391DB9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SI - NO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DB9" w:rsidRDefault="00391DB9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91DB9" w:rsidTr="0067072F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DB9" w:rsidRDefault="00391DB9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21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B9" w:rsidRDefault="00391DB9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91DB9" w:rsidTr="0067072F">
        <w:trPr>
          <w:jc w:val="center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DB9" w:rsidRDefault="00391DB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:rsidR="00391DB9" w:rsidRDefault="00391DB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B9" w:rsidRDefault="00391DB9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B9" w:rsidRDefault="00391DB9" w:rsidP="0067072F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B9" w:rsidRDefault="00391DB9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B9" w:rsidRDefault="00391DB9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B9" w:rsidRDefault="00391DB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:rsidR="00391DB9" w:rsidRDefault="00391DB9" w:rsidP="0067072F">
            <w:pPr>
              <w:pStyle w:val="Standard"/>
              <w:tabs>
                <w:tab w:val="left" w:pos="3195"/>
              </w:tabs>
              <w:rPr>
                <w:b/>
              </w:rPr>
            </w:pPr>
          </w:p>
        </w:tc>
      </w:tr>
      <w:tr w:rsidR="00391DB9" w:rsidTr="0067072F">
        <w:trPr>
          <w:jc w:val="center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DB9" w:rsidRDefault="00391DB9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B9" w:rsidRDefault="00391DB9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B9" w:rsidRDefault="00391DB9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B9" w:rsidRDefault="00391DB9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B9" w:rsidRDefault="00391DB9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B9" w:rsidRDefault="00391DB9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391DB9" w:rsidRDefault="00391DB9" w:rsidP="00391DB9">
      <w:pPr>
        <w:pStyle w:val="Standard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270"/>
        <w:gridCol w:w="3118"/>
        <w:gridCol w:w="2555"/>
        <w:gridCol w:w="3503"/>
      </w:tblGrid>
      <w:tr w:rsidR="00391DB9" w:rsidTr="0067072F">
        <w:trPr>
          <w:trHeight w:val="4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391DB9" w:rsidTr="0067072F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DB9" w:rsidRDefault="00391DB9" w:rsidP="0067072F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391DB9" w:rsidTr="0067072F">
        <w:trPr>
          <w:trHeight w:val="4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391DB9" w:rsidRDefault="00391DB9" w:rsidP="00391DB9">
      <w:pPr>
        <w:rPr>
          <w:szCs w:val="21"/>
        </w:rPr>
      </w:pPr>
    </w:p>
    <w:p w:rsidR="00391DB9" w:rsidRDefault="00391DB9" w:rsidP="00391DB9">
      <w:pPr>
        <w:rPr>
          <w:szCs w:val="21"/>
        </w:rPr>
        <w:sectPr w:rsidR="00391DB9">
          <w:footerReference w:type="default" r:id="rId7"/>
          <w:pgSz w:w="16838" w:h="11906" w:orient="landscape"/>
          <w:pgMar w:top="1134" w:right="1418" w:bottom="1134" w:left="1134" w:header="720" w:footer="720" w:gutter="0"/>
          <w:cols w:space="720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7475"/>
        <w:gridCol w:w="1493"/>
        <w:gridCol w:w="4612"/>
      </w:tblGrid>
      <w:tr w:rsidR="00391DB9" w:rsidTr="0067072F">
        <w:trPr>
          <w:trHeight w:hRule="exact" w:val="305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DB9" w:rsidRDefault="00391DB9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VERIFICA DELLE PROCEDURE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DB9" w:rsidRDefault="00391DB9" w:rsidP="0067072F">
            <w:r>
              <w:t xml:space="preserve">  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DB9" w:rsidRDefault="00391DB9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Verifica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DB9" w:rsidRDefault="00391DB9" w:rsidP="0067072F">
            <w:r>
              <w:t xml:space="preserve">  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pacing w:line="240" w:lineRule="atLeast"/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 nel rispetto dei principi di cui agli artt. 30 comma 1, 34 (CAM) e 42 (Conflitto d’interesse)?</w:t>
            </w:r>
          </w:p>
          <w:p w:rsidR="00391DB9" w:rsidRDefault="00391DB9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Art. 36 comma 2 lett. b)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D.Lgs.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391DB9" w:rsidRDefault="00391DB9" w:rsidP="0067072F">
            <w:pPr>
              <w:pStyle w:val="Standard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RUP è individuato nell'atto di adozione o aggiornamento dei programmi di cui all'art. 21, comma 1, (Programma degli acquisti e programmazione dei lavori pubblici) o nell'atto di avvio relativo ad ogni singolo intervento per le esigenze non incluse in programmazione?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D.Lgs.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4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requisiti che i partecipanti devono possedere per poter concorrere alla gara di appalto?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5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criteri di aggiudicazione prescelti, nel rispetto di quanto disposto dall’art. 95 del Codice?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6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si è dotata, eventualmente, in via preliminare, di un proprio regolamento? 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7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quale modalità è stata scelta dalla stazione appaltante, per le indagini esplorative preliminari volte a individuare gli operatori da invitare a presentare preventivo?</w:t>
            </w:r>
          </w:p>
          <w:p w:rsidR="00391DB9" w:rsidRDefault="00391DB9" w:rsidP="00391DB9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Sulla base di indagini di mercato</w:t>
            </w:r>
          </w:p>
          <w:p w:rsidR="00391DB9" w:rsidRDefault="00391DB9" w:rsidP="00391DB9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Tramite elenchi di operatori economici</w:t>
            </w:r>
          </w:p>
          <w:p w:rsidR="00391DB9" w:rsidRDefault="00391DB9" w:rsidP="00391DB9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Mediante consultazioni di cataloghi elettronici del mercato elettronico</w:t>
            </w:r>
          </w:p>
          <w:p w:rsidR="00391DB9" w:rsidRDefault="00391DB9" w:rsidP="0067072F">
            <w:pPr>
              <w:pStyle w:val="Standard"/>
              <w:ind w:left="720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selezionata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7.a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 ha pubblicato l’attività di esplorazione del mercato nel profilo del committente e la modalità? Nel caso abbia utilizzato altre forme di pubblicità, specificare quali?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8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provveduto ad individuare, ove esistenti, almeno dieci operatori economici?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56/2017, art. 36, comma 2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9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rispettato il principio di rotazione degli inviti?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dalla documentazione si evince che la stazione appaltante non ha potuto procedere alla selezione degli operatori economici da invitare, ha utilizzato una procedura a sorteggio?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10.a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Si evince dalla documentazione che la stazione appaltante ha debitamente pubblicizzato nell’avviso di indagine esplorativa o nell’avviso di costituzione dell’elenco l’utilizzo di tale procedura? 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10.b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Si evince dalla documentazione che la stazione appaltante ha pubblicizzato la data e il luogo in cui sarà effettuato il sorteggio degli operatori economici?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 xml:space="preserve">Il contratto è stato aggiudicato sulla base dell'offerta economicamente più vantaggiosa?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11.a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rapporto qualità/prezzo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11.b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Comparazioni costi/</w:t>
            </w:r>
            <w:proofErr w:type="gramStart"/>
            <w:r>
              <w:rPr>
                <w:rFonts w:ascii="Arial" w:hAnsi="Arial" w:cs="Arial"/>
                <w:lang w:val="it-IT"/>
              </w:rPr>
              <w:t>efficacia(</w:t>
            </w:r>
            <w:proofErr w:type="gramEnd"/>
            <w:r>
              <w:rPr>
                <w:rFonts w:ascii="Arial" w:hAnsi="Arial" w:cs="Arial"/>
                <w:lang w:val="it-IT"/>
              </w:rPr>
              <w:t>costo del ciclo di vita)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11.c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sì, </w:t>
            </w:r>
            <w:bookmarkStart w:id="0" w:name="_GoBack"/>
            <w:bookmarkEnd w:id="0"/>
            <w:r>
              <w:rPr>
                <w:rFonts w:ascii="Arial" w:hAnsi="Arial" w:cs="Arial"/>
                <w:lang w:val="it-IT"/>
              </w:rPr>
              <w:t>dalla documentazione di gara si evince: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i requisiti posseduti dai concorrenti, valutati nella fase di selezione, non siano stati riconsiderati nella fase di aggiudicazione.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b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aggiudicazione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c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sono valorizzati gli elementi qualitativi dell’offerta e i criteri tali da garantire un confronto concorrenziale effettivo sui profili tecnici, stabilendo un tetto massimo per il punteggio economico entro il limite del 30% di cui all’art. 95 co.10-bis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siano esclusi punteggi per l’offerta di opere aggiuntive rispetto a quanto previsto nel progetto esecutivo a base d’asta di cui all’art. 95 co.14-bis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391DB9" w:rsidRDefault="00391DB9" w:rsidP="0067072F">
            <w:pPr>
              <w:pStyle w:val="Standard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e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L’indicazione nell’offerta economica da parte del concorrente dei propri costi della manodopera e gli oneri aziendali concernenti l’adempimento delle disposizioni in materia di salute e sicurezza sui luoghi di lavoro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12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applicazione del criterio del minor prezzo, di cui all’art. 95 comma 4, la stazione appaltante ha adeguatamente motivato la scelta?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12.a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gara è stata fatta sulla base del progetto esecutivo?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13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stata formalizzata la nomina della Commissione giudicatrice secondo le modalità di cui all'art. 77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13.a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La Commissione giudicatrice include componenti interni ad esclusione del Presidente, solo nei casi che</w:t>
            </w:r>
            <w:r>
              <w:rPr>
                <w:rFonts w:ascii="Arial" w:hAnsi="Arial" w:cs="Arial"/>
                <w:iCs/>
                <w:lang w:val="it-IT"/>
              </w:rPr>
              <w:t xml:space="preserve"> non presentano particolare complessità, nel rispetto del principio di rotazione?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13.b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All’apertura delle buste, la Commissione giudicatrice era validamente costituita?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14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Dai documenti di gara si evince che la stazione appaltante ha verificato le dichiarazioni circa il possesso dei requisiti di ordine generale di cui 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 e il possesso dei requisiti di ordine speciale richiesti nella lettera di invito o nel bando di gara?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15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risulta che la Commissione ha verificato che i criteri utilizzati per la valutazione dell'offerta, nella procedura di aggiudicazione, sono conformi ai criteri pubblicati nel bando di gara?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gara, esplicitano le motivazioni per tutte le decisioni prese dalla Commissione aggiudicatrice?</w:t>
            </w:r>
          </w:p>
          <w:p w:rsidR="00391DB9" w:rsidRDefault="00391DB9" w:rsidP="0067072F">
            <w:pPr>
              <w:pStyle w:val="Standard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state presentate offerte anormalmente basse ai sensi delle modifiche apportate all'art. 97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 (“offerte anomale”)?   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verificare i seguenti aspetti: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17.a.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spiegazioni relativamente a tali offerte?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17.b.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decisione di approvare o respingere tali offerte è stata adeguatamente motivata dalla stazione appaltante?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la proposta di aggiudicazione come previsto dall’art. 33 comma 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il provvedimento di aggiudicazione definitiva?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20.1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servizi o forniture per i quali non sia necessario una particolare specializzazione, è stato fatto obbligo di indicare una terna di subappaltatori?</w:t>
            </w:r>
          </w:p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20.2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i servizi e/o le forniture che intende subappaltare?</w:t>
            </w:r>
          </w:p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20.3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dell’inizio della prestazione?</w:t>
            </w:r>
          </w:p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20.4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contraente ha prodotto le dichiarazioni dei subappaltatori circa l’assenza dei motivi di esclusione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50/2016, nonché le attestazioni del possesso dei requisiti di qualificazione?</w:t>
            </w:r>
          </w:p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20.5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sub-contratti stipulati per l’esecuzione dell’appalto, il contraente ha adempiuto all’obbligo di comunicazione previsto all’art. 105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reso pubblico l’esito della gara secondo quanto stabilito nel bando di gara e nel rispetto dell’art. 76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capitolati e il computo metrico estimativo, richiamati nel bando o nell’invito, fanno parte del contratto come previsto dall’art. 32 comma 14-bis?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 ’stato nominato il Direttore dell’Esecuzione?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24.2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</w:t>
            </w:r>
            <w:proofErr w:type="gramStart"/>
            <w:r>
              <w:rPr>
                <w:rFonts w:ascii="Arial" w:hAnsi="Arial" w:cs="Arial"/>
                <w:bCs/>
              </w:rPr>
              <w:t>2.a</w:t>
            </w:r>
            <w:proofErr w:type="gramEnd"/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24.</w:t>
            </w:r>
            <w:proofErr w:type="gramStart"/>
            <w:r>
              <w:rPr>
                <w:rFonts w:ascii="Arial" w:hAnsi="Arial" w:cs="Arial"/>
                <w:bCs/>
              </w:rPr>
              <w:t>2.b</w:t>
            </w:r>
            <w:proofErr w:type="gramEnd"/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servizi o forniture supplementari, sono state rispettate le condizioni di cui all’art.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24.2.c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</w:t>
            </w:r>
            <w:proofErr w:type="gramStart"/>
            <w:r>
              <w:rPr>
                <w:rFonts w:ascii="Arial" w:hAnsi="Arial" w:cs="Arial"/>
                <w:bCs/>
              </w:rPr>
              <w:t>2.d</w:t>
            </w:r>
            <w:proofErr w:type="gramEnd"/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lett.d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</w:t>
            </w:r>
            <w:proofErr w:type="gramStart"/>
            <w:r>
              <w:rPr>
                <w:rFonts w:ascii="Arial" w:hAnsi="Arial" w:cs="Arial"/>
                <w:bCs/>
              </w:rPr>
              <w:t>2.e</w:t>
            </w:r>
            <w:proofErr w:type="gramEnd"/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Le modifiche non sono sostanziali, ai sensi </w:t>
            </w:r>
            <w:proofErr w:type="gramStart"/>
            <w:r>
              <w:rPr>
                <w:rFonts w:ascii="Arial" w:hAnsi="Arial" w:cs="Arial"/>
                <w:lang w:val="it-IT"/>
              </w:rPr>
              <w:t>dell’ art.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lett.e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25.b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25.c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la Verifica di Conformità come previsto all’art. 102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91DB9" w:rsidTr="0067072F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Specificare con quale documento è stato sostituito</w:t>
            </w:r>
          </w:p>
          <w:p w:rsidR="00391DB9" w:rsidRDefault="00391DB9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DB9" w:rsidRDefault="00391DB9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DB9" w:rsidRDefault="00391DB9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:rsidR="00391DB9" w:rsidRDefault="00391DB9" w:rsidP="00391DB9">
      <w:pPr>
        <w:pStyle w:val="Standard"/>
        <w:ind w:left="720"/>
        <w:rPr>
          <w:lang w:val="it-IT"/>
        </w:rPr>
      </w:pPr>
    </w:p>
    <w:p w:rsidR="00E110CD" w:rsidRPr="00391DB9" w:rsidRDefault="00E110CD" w:rsidP="00391DB9"/>
    <w:sectPr w:rsidR="00E110CD" w:rsidRPr="00391DB9" w:rsidSect="00391DB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662" w:rsidRDefault="00DC0662">
      <w:pPr>
        <w:spacing w:before="0" w:after="0" w:line="240" w:lineRule="auto"/>
      </w:pPr>
      <w:r>
        <w:separator/>
      </w:r>
    </w:p>
  </w:endnote>
  <w:endnote w:type="continuationSeparator" w:id="0">
    <w:p w:rsidR="00DC0662" w:rsidRDefault="00DC06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4C8" w:rsidRDefault="00DC0662">
    <w:pPr>
      <w:pStyle w:val="Pidipagina"/>
      <w:jc w:val="right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4"/>
      <w:gridCol w:w="4659"/>
      <w:gridCol w:w="4703"/>
    </w:tblGrid>
    <w:tr w:rsidR="00DF4DD8" w:rsidTr="00DD6B6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="00DF4DD8" w:rsidRPr="00A01B50" w:rsidRDefault="00DF4DD8" w:rsidP="00DF4DD8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proofErr w:type="spellStart"/>
          <w:r w:rsidRPr="00A01B50">
            <w:rPr>
              <w:i/>
              <w:sz w:val="16"/>
              <w:szCs w:val="16"/>
            </w:rPr>
            <w:t>apr</w:t>
          </w:r>
          <w:proofErr w:type="spellEnd"/>
          <w:r w:rsidRPr="00A01B50">
            <w:rPr>
              <w:i/>
              <w:sz w:val="16"/>
              <w:szCs w:val="16"/>
            </w:rPr>
            <w:t xml:space="preserve"> 2018)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="00DF4DD8" w:rsidRPr="0051552A" w:rsidRDefault="00DF4DD8" w:rsidP="00DF4DD8">
          <w:pPr>
            <w:pStyle w:val="Pidipagina"/>
            <w:jc w:val="center"/>
            <w:rPr>
              <w:i/>
              <w:sz w:val="16"/>
              <w:szCs w:val="16"/>
            </w:rPr>
          </w:pP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50/2016 aggiornato al </w:t>
          </w: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56/2017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Content>
            <w:p w:rsidR="00DF4DD8" w:rsidRDefault="00DF4DD8" w:rsidP="00DF4DD8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:rsidR="000444C8" w:rsidRDefault="00DC06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662" w:rsidRDefault="00DC0662">
      <w:pPr>
        <w:spacing w:before="0" w:after="0" w:line="240" w:lineRule="auto"/>
      </w:pPr>
      <w:r>
        <w:separator/>
      </w:r>
    </w:p>
  </w:footnote>
  <w:footnote w:type="continuationSeparator" w:id="0">
    <w:p w:rsidR="00DC0662" w:rsidRDefault="00DC066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4D23"/>
    <w:multiLevelType w:val="multilevel"/>
    <w:tmpl w:val="E41A3B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B9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13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1DB9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0662"/>
    <w:rsid w:val="00DC140F"/>
    <w:rsid w:val="00DC22A1"/>
    <w:rsid w:val="00DC3637"/>
    <w:rsid w:val="00DC3D89"/>
    <w:rsid w:val="00DE10D7"/>
    <w:rsid w:val="00DE57C6"/>
    <w:rsid w:val="00DF4DD8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3CBA"/>
  <w15:chartTrackingRefBased/>
  <w15:docId w15:val="{DA632A8B-3D5E-4D4E-A92E-912B6D8E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1DB9"/>
    <w:pPr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91D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Pidipagina">
    <w:name w:val="footer"/>
    <w:basedOn w:val="Normale"/>
    <w:link w:val="PidipaginaCarattere"/>
    <w:uiPriority w:val="99"/>
    <w:rsid w:val="00391DB9"/>
    <w:pPr>
      <w:tabs>
        <w:tab w:val="center" w:pos="4819"/>
        <w:tab w:val="right" w:pos="9638"/>
      </w:tabs>
    </w:pPr>
    <w:rPr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DB9"/>
    <w:rPr>
      <w:rFonts w:ascii="Verdana" w:eastAsia="Times New Roman" w:hAnsi="Verdana" w:cs="Times New Roman"/>
      <w:sz w:val="20"/>
      <w:szCs w:val="24"/>
      <w:lang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DF4DD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DD8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DF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Filippi Annalisa</cp:lastModifiedBy>
  <cp:revision>2</cp:revision>
  <dcterms:created xsi:type="dcterms:W3CDTF">2018-06-28T11:57:00Z</dcterms:created>
  <dcterms:modified xsi:type="dcterms:W3CDTF">2018-06-29T12:44:00Z</dcterms:modified>
</cp:coreProperties>
</file>